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B5" w:rsidRPr="00EC0BA3" w:rsidRDefault="00854CB5" w:rsidP="00854CB5">
      <w:pPr>
        <w:pStyle w:val="NoSpacing"/>
        <w:spacing w:line="360" w:lineRule="auto"/>
        <w:jc w:val="both"/>
        <w:rPr>
          <w:rFonts w:ascii="Times New Roman" w:hAnsi="Times New Roman" w:cs="Times New Roman"/>
          <w:b/>
          <w:sz w:val="24"/>
          <w:szCs w:val="24"/>
        </w:rPr>
      </w:pPr>
      <w:r w:rsidRPr="00EC0BA3">
        <w:rPr>
          <w:rFonts w:ascii="Times New Roman" w:hAnsi="Times New Roman" w:cs="Times New Roman"/>
          <w:b/>
          <w:sz w:val="24"/>
          <w:szCs w:val="24"/>
        </w:rPr>
        <w:t>Appendix A</w:t>
      </w:r>
      <w:r w:rsidR="00AD3DAA" w:rsidRPr="00EC0BA3">
        <w:rPr>
          <w:rFonts w:ascii="Times New Roman" w:hAnsi="Times New Roman" w:cs="Times New Roman"/>
          <w:b/>
          <w:sz w:val="24"/>
          <w:szCs w:val="24"/>
        </w:rPr>
        <w:t xml:space="preserve">: Embedded </w:t>
      </w:r>
      <w:r w:rsidR="00EC0BA3" w:rsidRPr="00EC0BA3">
        <w:rPr>
          <w:rFonts w:ascii="Times New Roman" w:hAnsi="Times New Roman" w:cs="Times New Roman"/>
          <w:b/>
          <w:sz w:val="24"/>
          <w:szCs w:val="24"/>
        </w:rPr>
        <w:t>occupational injury prevention and management model</w:t>
      </w:r>
    </w:p>
    <w:p w:rsidR="00854CB5" w:rsidRDefault="00854CB5" w:rsidP="00854CB5">
      <w:pPr>
        <w:pStyle w:val="NoSpacing"/>
        <w:spacing w:line="360" w:lineRule="auto"/>
        <w:jc w:val="both"/>
        <w:rPr>
          <w:rFonts w:ascii="Arial" w:hAnsi="Arial" w:cs="Arial"/>
          <w:b/>
        </w:rPr>
      </w:pPr>
    </w:p>
    <w:p w:rsidR="00E15043" w:rsidRDefault="00E15043" w:rsidP="00854CB5">
      <w:pPr>
        <w:pStyle w:val="NoSpacing"/>
        <w:spacing w:line="360" w:lineRule="auto"/>
        <w:jc w:val="both"/>
        <w:rPr>
          <w:noProof/>
          <w:lang w:eastAsia="en-ZA"/>
        </w:rPr>
      </w:pPr>
    </w:p>
    <w:p w:rsidR="00E15043" w:rsidRDefault="002D293A" w:rsidP="00854CB5">
      <w:pPr>
        <w:pStyle w:val="NoSpacing"/>
        <w:spacing w:line="360" w:lineRule="auto"/>
        <w:jc w:val="both"/>
        <w:rPr>
          <w:noProof/>
          <w:lang w:eastAsia="en-ZA"/>
        </w:rPr>
      </w:pPr>
      <w:r>
        <w:rPr>
          <w:noProof/>
          <w:lang w:eastAsia="en-ZA"/>
        </w:rPr>
        <mc:AlternateContent>
          <mc:Choice Requires="wps">
            <w:drawing>
              <wp:anchor distT="0" distB="0" distL="114300" distR="114300" simplePos="0" relativeHeight="251660288" behindDoc="0" locked="0" layoutInCell="1" allowOverlap="1" wp14:anchorId="07D75113" wp14:editId="6A4DF1F5">
                <wp:simplePos x="0" y="0"/>
                <wp:positionH relativeFrom="column">
                  <wp:posOffset>471170</wp:posOffset>
                </wp:positionH>
                <wp:positionV relativeFrom="paragraph">
                  <wp:posOffset>3305175</wp:posOffset>
                </wp:positionV>
                <wp:extent cx="6823075" cy="527050"/>
                <wp:effectExtent l="4763" t="0" r="1587" b="1588"/>
                <wp:wrapNone/>
                <wp:docPr id="2" name="Text Box 2"/>
                <wp:cNvGraphicFramePr/>
                <a:graphic xmlns:a="http://schemas.openxmlformats.org/drawingml/2006/main">
                  <a:graphicData uri="http://schemas.microsoft.com/office/word/2010/wordprocessingShape">
                    <wps:wsp>
                      <wps:cNvSpPr txBox="1"/>
                      <wps:spPr>
                        <a:xfrm rot="16200000">
                          <a:off x="0" y="0"/>
                          <a:ext cx="6823075" cy="527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4931" w:rsidRPr="008C521A" w:rsidRDefault="00B44931">
                            <w:pPr>
                              <w:rPr>
                                <w:rFonts w:ascii="Times New Roman" w:hAnsi="Times New Roman" w:cs="Times New Roman"/>
                                <w:b/>
                                <w:sz w:val="24"/>
                                <w:szCs w:val="24"/>
                              </w:rPr>
                            </w:pPr>
                            <w:r w:rsidRPr="008C521A">
                              <w:rPr>
                                <w:rFonts w:ascii="Times New Roman" w:hAnsi="Times New Roman" w:cs="Times New Roman"/>
                                <w:b/>
                                <w:sz w:val="24"/>
                                <w:szCs w:val="24"/>
                              </w:rPr>
                              <w:t xml:space="preserve">Figure 1: Embedded </w:t>
                            </w:r>
                            <w:r w:rsidR="00EC0BA3" w:rsidRPr="008C521A">
                              <w:rPr>
                                <w:rFonts w:ascii="Times New Roman" w:hAnsi="Times New Roman" w:cs="Times New Roman"/>
                                <w:b/>
                                <w:sz w:val="24"/>
                                <w:szCs w:val="24"/>
                              </w:rPr>
                              <w:t xml:space="preserve">occupational injury prevention and management model </w:t>
                            </w:r>
                            <w:r w:rsidRPr="008C521A">
                              <w:rPr>
                                <w:rFonts w:ascii="Times New Roman" w:hAnsi="Times New Roman" w:cs="Times New Roman"/>
                                <w:b/>
                                <w:sz w:val="24"/>
                                <w:szCs w:val="24"/>
                              </w:rPr>
                              <w:t>(adapted from the ecological model described by Andrews, Bubolz and Paolucci, 1980)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1pt;margin-top:260.25pt;width:537.25pt;height:4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" fillcolor="white [3201]" stroked="f" strokeweight=".5pt">
                <v:textbox>
                  <w:txbxContent>
                    <w:p w:rsidR="00B44931" w:rsidRPr="008C521A" w:rsidRDefault="00B44931">
                      <w:pPr>
                        <w:rPr>
                          <w:rFonts w:ascii="Times New Roman" w:hAnsi="Times New Roman" w:cs="Times New Roman"/>
                          <w:b/>
                          <w:sz w:val="24"/>
                          <w:szCs w:val="24"/>
                        </w:rPr>
                      </w:pPr>
                      <w:r w:rsidRPr="008C521A">
                        <w:rPr>
                          <w:rFonts w:ascii="Times New Roman" w:hAnsi="Times New Roman" w:cs="Times New Roman"/>
                          <w:b/>
                          <w:sz w:val="24"/>
                          <w:szCs w:val="24"/>
                        </w:rPr>
                        <w:t xml:space="preserve">Figure 1: Embedded </w:t>
                      </w:r>
                      <w:r w:rsidR="00EC0BA3" w:rsidRPr="008C521A">
                        <w:rPr>
                          <w:rFonts w:ascii="Times New Roman" w:hAnsi="Times New Roman" w:cs="Times New Roman"/>
                          <w:b/>
                          <w:sz w:val="24"/>
                          <w:szCs w:val="24"/>
                        </w:rPr>
                        <w:t xml:space="preserve">occupational injury prevention and management model </w:t>
                      </w:r>
                      <w:r w:rsidRPr="008C521A">
                        <w:rPr>
                          <w:rFonts w:ascii="Times New Roman" w:hAnsi="Times New Roman" w:cs="Times New Roman"/>
                          <w:b/>
                          <w:sz w:val="24"/>
                          <w:szCs w:val="24"/>
                        </w:rPr>
                        <w:t>(adapted from the ecological model described by Andrews, Bubolz and Paolucci, 1980)</w:t>
                      </w:r>
                    </w:p>
                  </w:txbxContent>
                </v:textbox>
              </v:shape>
            </w:pict>
          </mc:Fallback>
        </mc:AlternateContent>
      </w:r>
      <w:r w:rsidR="00E15043" w:rsidRPr="00E15043">
        <w:rPr>
          <w:rFonts w:ascii="Arial" w:eastAsia="Arial" w:hAnsi="Arial" w:cs="Times New Roman"/>
          <w:noProof/>
          <w:lang w:eastAsia="en-ZA"/>
        </w:rPr>
        <w:drawing>
          <wp:inline distT="0" distB="0" distL="0" distR="0" wp14:anchorId="042961F8" wp14:editId="42A02C8D">
            <wp:extent cx="7135227" cy="3455571"/>
            <wp:effectExtent l="0" t="7938" r="953" b="95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3727" t="22849" r="28057" b="52744"/>
                    <a:stretch/>
                  </pic:blipFill>
                  <pic:spPr bwMode="auto">
                    <a:xfrm rot="16200000">
                      <a:off x="0" y="0"/>
                      <a:ext cx="7174007" cy="3474352"/>
                    </a:xfrm>
                    <a:prstGeom prst="rect">
                      <a:avLst/>
                    </a:prstGeom>
                    <a:ln>
                      <a:noFill/>
                    </a:ln>
                    <a:extLst>
                      <a:ext uri="{53640926-AAD7-44D8-BBD7-CCE9431645EC}">
                        <a14:shadowObscured xmlns:a14="http://schemas.microsoft.com/office/drawing/2010/main"/>
                      </a:ext>
                    </a:extLst>
                  </pic:spPr>
                </pic:pic>
              </a:graphicData>
            </a:graphic>
          </wp:inline>
        </w:drawing>
      </w:r>
    </w:p>
    <w:p w:rsidR="00E15043" w:rsidRDefault="00E15043" w:rsidP="00854CB5">
      <w:pPr>
        <w:pStyle w:val="NoSpacing"/>
        <w:spacing w:line="360" w:lineRule="auto"/>
        <w:jc w:val="both"/>
        <w:rPr>
          <w:noProof/>
          <w:lang w:eastAsia="en-ZA"/>
        </w:rPr>
      </w:pPr>
    </w:p>
    <w:p w:rsidR="00E15043" w:rsidRDefault="00E15043" w:rsidP="00854CB5">
      <w:pPr>
        <w:pStyle w:val="NoSpacing"/>
        <w:spacing w:line="360" w:lineRule="auto"/>
        <w:jc w:val="both"/>
        <w:rPr>
          <w:noProof/>
          <w:lang w:eastAsia="en-ZA"/>
        </w:rPr>
      </w:pPr>
    </w:p>
    <w:p w:rsidR="00E15043" w:rsidRDefault="00E15043" w:rsidP="00854CB5">
      <w:pPr>
        <w:pStyle w:val="NoSpacing"/>
        <w:spacing w:line="360" w:lineRule="auto"/>
        <w:jc w:val="both"/>
        <w:rPr>
          <w:noProof/>
          <w:lang w:eastAsia="en-ZA"/>
        </w:rPr>
      </w:pPr>
    </w:p>
    <w:p w:rsidR="00E15043" w:rsidRDefault="00E15043" w:rsidP="00854CB5">
      <w:pPr>
        <w:pStyle w:val="NoSpacing"/>
        <w:spacing w:line="360" w:lineRule="auto"/>
        <w:jc w:val="both"/>
        <w:rPr>
          <w:noProof/>
          <w:lang w:eastAsia="en-ZA"/>
        </w:rPr>
      </w:pPr>
    </w:p>
    <w:p w:rsidR="001A6886" w:rsidRPr="00EC0BA3" w:rsidRDefault="00AD3DAA" w:rsidP="00AD3DAA">
      <w:pPr>
        <w:pStyle w:val="NoSpacing"/>
        <w:spacing w:line="360" w:lineRule="auto"/>
        <w:jc w:val="both"/>
        <w:rPr>
          <w:rFonts w:ascii="Times New Roman" w:eastAsia="Times New Roman" w:hAnsi="Times New Roman" w:cs="Times New Roman"/>
          <w:b/>
          <w:bCs/>
          <w:sz w:val="24"/>
          <w:szCs w:val="24"/>
          <w:lang w:val="en-GB" w:eastAsia="en-ZA"/>
        </w:rPr>
      </w:pPr>
      <w:r w:rsidRPr="00EC0BA3">
        <w:rPr>
          <w:rFonts w:ascii="Times New Roman" w:hAnsi="Times New Roman" w:cs="Times New Roman"/>
          <w:b/>
          <w:sz w:val="24"/>
          <w:szCs w:val="24"/>
        </w:rPr>
        <w:lastRenderedPageBreak/>
        <w:t xml:space="preserve">Appendix B: </w:t>
      </w:r>
      <w:r w:rsidR="00EC0BA3">
        <w:rPr>
          <w:rFonts w:ascii="Times New Roman" w:hAnsi="Times New Roman" w:cs="Times New Roman"/>
          <w:b/>
          <w:sz w:val="24"/>
          <w:szCs w:val="24"/>
        </w:rPr>
        <w:t xml:space="preserve">Media reports and studies indicating </w:t>
      </w:r>
      <w:r w:rsidRPr="00AD3DAA">
        <w:rPr>
          <w:rFonts w:ascii="Times New Roman" w:eastAsia="Times New Roman" w:hAnsi="Times New Roman" w:cs="Times New Roman"/>
          <w:b/>
          <w:bCs/>
          <w:sz w:val="24"/>
          <w:szCs w:val="24"/>
          <w:lang w:val="en-GB" w:eastAsia="en-ZA"/>
        </w:rPr>
        <w:t xml:space="preserve">risks </w:t>
      </w:r>
      <w:r w:rsidR="00EC0BA3">
        <w:rPr>
          <w:rFonts w:ascii="Times New Roman" w:eastAsia="Times New Roman" w:hAnsi="Times New Roman" w:cs="Times New Roman"/>
          <w:b/>
          <w:bCs/>
          <w:sz w:val="24"/>
          <w:szCs w:val="24"/>
          <w:lang w:val="en-GB" w:eastAsia="en-ZA"/>
        </w:rPr>
        <w:t>in Higher Education</w:t>
      </w:r>
    </w:p>
    <w:p w:rsidR="00EC0BA3" w:rsidRPr="00EC0BA3" w:rsidRDefault="00EC0BA3" w:rsidP="001A6886">
      <w:pPr>
        <w:pStyle w:val="NoSpacing"/>
        <w:jc w:val="both"/>
        <w:rPr>
          <w:rFonts w:ascii="Times New Roman" w:hAnsi="Times New Roman" w:cs="Times New Roman"/>
          <w:b/>
          <w:sz w:val="24"/>
          <w:szCs w:val="24"/>
        </w:rPr>
      </w:pPr>
      <w:r>
        <w:rPr>
          <w:rFonts w:ascii="Arial" w:hAnsi="Arial" w:cs="Arial"/>
          <w:b/>
        </w:rPr>
        <w:t xml:space="preserve">     </w:t>
      </w:r>
      <w:r w:rsidRPr="00EC0BA3">
        <w:rPr>
          <w:rFonts w:ascii="Times New Roman" w:hAnsi="Times New Roman" w:cs="Times New Roman"/>
          <w:b/>
          <w:sz w:val="24"/>
          <w:szCs w:val="24"/>
        </w:rPr>
        <w:t>Table 1: Faculty wide risks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091"/>
        <w:gridCol w:w="2460"/>
      </w:tblGrid>
      <w:tr w:rsidR="00AD3DAA" w:rsidRPr="00AD3DAA" w:rsidTr="00F93E58">
        <w:tc>
          <w:tcPr>
            <w:tcW w:w="2084" w:type="dxa"/>
            <w:shd w:val="clear" w:color="auto" w:fill="B6DDE8" w:themeFill="accent5" w:themeFillTint="66"/>
          </w:tcPr>
          <w:p w:rsidR="00AD3DAA" w:rsidRPr="00AD3DAA" w:rsidRDefault="00AD3DAA" w:rsidP="00AD3DAA">
            <w:pPr>
              <w:widowControl w:val="0"/>
              <w:autoSpaceDE w:val="0"/>
              <w:autoSpaceDN w:val="0"/>
              <w:adjustRightInd w:val="0"/>
              <w:spacing w:after="0" w:line="240" w:lineRule="auto"/>
              <w:ind w:right="-108"/>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HEI Faculties and Departments</w:t>
            </w:r>
          </w:p>
        </w:tc>
        <w:tc>
          <w:tcPr>
            <w:tcW w:w="4091" w:type="dxa"/>
            <w:shd w:val="clear" w:color="auto" w:fill="B6DDE8" w:themeFill="accent5" w:themeFillTint="66"/>
          </w:tcPr>
          <w:p w:rsidR="00AD3DAA" w:rsidRPr="00AD3DAA" w:rsidRDefault="00AD3DAA" w:rsidP="00AD3DAA">
            <w:pPr>
              <w:spacing w:after="0" w:line="240" w:lineRule="auto"/>
              <w:rPr>
                <w:rFonts w:ascii="Arial" w:eastAsia="Times New Roman" w:hAnsi="Arial" w:cs="Arial"/>
                <w:b/>
                <w:sz w:val="20"/>
                <w:szCs w:val="20"/>
                <w:lang w:val="en-US"/>
              </w:rPr>
            </w:pPr>
            <w:r w:rsidRPr="00AD3DAA">
              <w:rPr>
                <w:rFonts w:ascii="Arial" w:eastAsia="Times New Roman" w:hAnsi="Arial" w:cs="Arial"/>
                <w:b/>
                <w:sz w:val="20"/>
                <w:szCs w:val="20"/>
                <w:lang w:val="en-US"/>
              </w:rPr>
              <w:t>Risks and Hazards</w:t>
            </w:r>
          </w:p>
        </w:tc>
        <w:tc>
          <w:tcPr>
            <w:tcW w:w="2460" w:type="dxa"/>
            <w:shd w:val="clear" w:color="auto" w:fill="B6DDE8" w:themeFill="accent5" w:themeFillTint="66"/>
          </w:tcPr>
          <w:p w:rsidR="00AD3DAA" w:rsidRPr="00AD3DAA" w:rsidRDefault="00AD3DAA" w:rsidP="00AD3DAA">
            <w:pPr>
              <w:widowControl w:val="0"/>
              <w:autoSpaceDE w:val="0"/>
              <w:autoSpaceDN w:val="0"/>
              <w:adjustRightInd w:val="0"/>
              <w:spacing w:after="0" w:line="240" w:lineRule="auto"/>
              <w:ind w:right="-1"/>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Injury Studies or Media Reports</w:t>
            </w:r>
          </w:p>
        </w:tc>
      </w:tr>
      <w:tr w:rsidR="00AD3DAA" w:rsidRPr="00AD3DAA" w:rsidTr="00112171">
        <w:tc>
          <w:tcPr>
            <w:tcW w:w="2084" w:type="dxa"/>
            <w:shd w:val="clear" w:color="auto" w:fill="auto"/>
          </w:tcPr>
          <w:p w:rsidR="00AD3DAA" w:rsidRDefault="00AD3DAA" w:rsidP="00AD3DAA">
            <w:pPr>
              <w:widowControl w:val="0"/>
              <w:autoSpaceDE w:val="0"/>
              <w:autoSpaceDN w:val="0"/>
              <w:adjustRightInd w:val="0"/>
              <w:spacing w:after="0" w:line="240" w:lineRule="auto"/>
              <w:ind w:right="73"/>
              <w:jc w:val="both"/>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 xml:space="preserve">Health Science, </w:t>
            </w:r>
          </w:p>
          <w:p w:rsidR="00AB2B69" w:rsidRPr="00AD3DAA" w:rsidRDefault="00AB2B69" w:rsidP="00AD3DAA">
            <w:pPr>
              <w:widowControl w:val="0"/>
              <w:autoSpaceDE w:val="0"/>
              <w:autoSpaceDN w:val="0"/>
              <w:adjustRightInd w:val="0"/>
              <w:spacing w:after="0" w:line="240" w:lineRule="auto"/>
              <w:ind w:right="73"/>
              <w:jc w:val="both"/>
              <w:rPr>
                <w:rFonts w:ascii="Arial" w:eastAsia="Times New Roman" w:hAnsi="Arial" w:cs="Arial"/>
                <w:b/>
                <w:bCs/>
                <w:color w:val="000000"/>
                <w:sz w:val="20"/>
                <w:szCs w:val="20"/>
                <w:lang w:val="en-GB" w:eastAsia="en-ZA"/>
              </w:rPr>
            </w:pPr>
          </w:p>
          <w:p w:rsidR="00AD3DAA" w:rsidRDefault="00AD3DAA" w:rsidP="00AD3DAA">
            <w:pPr>
              <w:widowControl w:val="0"/>
              <w:autoSpaceDE w:val="0"/>
              <w:autoSpaceDN w:val="0"/>
              <w:adjustRightInd w:val="0"/>
              <w:spacing w:after="0" w:line="240" w:lineRule="auto"/>
              <w:ind w:right="73"/>
              <w:jc w:val="both"/>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Science</w:t>
            </w:r>
            <w:r w:rsidR="00AB2B69">
              <w:rPr>
                <w:rFonts w:ascii="Arial" w:eastAsia="Times New Roman" w:hAnsi="Arial" w:cs="Arial"/>
                <w:b/>
                <w:bCs/>
                <w:color w:val="000000"/>
                <w:sz w:val="20"/>
                <w:szCs w:val="20"/>
                <w:lang w:val="en-GB" w:eastAsia="en-ZA"/>
              </w:rPr>
              <w:t>,</w:t>
            </w:r>
            <w:r w:rsidRPr="00AD3DAA">
              <w:rPr>
                <w:rFonts w:ascii="Arial" w:eastAsia="Times New Roman" w:hAnsi="Arial" w:cs="Arial"/>
                <w:b/>
                <w:bCs/>
                <w:color w:val="000000"/>
                <w:sz w:val="20"/>
                <w:szCs w:val="20"/>
                <w:lang w:val="en-GB" w:eastAsia="en-ZA"/>
              </w:rPr>
              <w:t xml:space="preserve"> </w:t>
            </w:r>
          </w:p>
          <w:p w:rsidR="00AB2B69" w:rsidRPr="00AD3DAA" w:rsidRDefault="00AB2B69" w:rsidP="00AD3DAA">
            <w:pPr>
              <w:widowControl w:val="0"/>
              <w:autoSpaceDE w:val="0"/>
              <w:autoSpaceDN w:val="0"/>
              <w:adjustRightInd w:val="0"/>
              <w:spacing w:after="0" w:line="240" w:lineRule="auto"/>
              <w:ind w:right="73"/>
              <w:jc w:val="both"/>
              <w:rPr>
                <w:rFonts w:ascii="Arial" w:eastAsia="Times New Roman" w:hAnsi="Arial" w:cs="Arial"/>
                <w:b/>
                <w:bCs/>
                <w:color w:val="000000"/>
                <w:sz w:val="20"/>
                <w:szCs w:val="20"/>
                <w:lang w:val="en-GB" w:eastAsia="en-ZA"/>
              </w:rPr>
            </w:pPr>
          </w:p>
          <w:p w:rsidR="00AD3DAA" w:rsidRPr="00AD3DAA" w:rsidRDefault="00AD3DAA" w:rsidP="00AD3DAA">
            <w:pPr>
              <w:widowControl w:val="0"/>
              <w:autoSpaceDE w:val="0"/>
              <w:autoSpaceDN w:val="0"/>
              <w:adjustRightInd w:val="0"/>
              <w:spacing w:after="0" w:line="240" w:lineRule="auto"/>
              <w:ind w:right="73"/>
              <w:jc w:val="both"/>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 xml:space="preserve">Research </w:t>
            </w:r>
          </w:p>
          <w:p w:rsidR="00AD3DAA" w:rsidRPr="00AD3DAA" w:rsidRDefault="00AD3DAA" w:rsidP="00AD3DAA">
            <w:pPr>
              <w:widowControl w:val="0"/>
              <w:autoSpaceDE w:val="0"/>
              <w:autoSpaceDN w:val="0"/>
              <w:adjustRightInd w:val="0"/>
              <w:spacing w:after="0" w:line="360" w:lineRule="auto"/>
              <w:ind w:right="73"/>
              <w:jc w:val="both"/>
              <w:rPr>
                <w:rFonts w:ascii="Arial" w:eastAsia="Times New Roman" w:hAnsi="Arial" w:cs="Arial"/>
                <w:b/>
                <w:bCs/>
                <w:color w:val="000000"/>
                <w:sz w:val="20"/>
                <w:szCs w:val="20"/>
                <w:lang w:val="en-GB" w:eastAsia="en-ZA"/>
              </w:rPr>
            </w:pPr>
          </w:p>
          <w:p w:rsidR="00AD3DAA" w:rsidRPr="00AD3DAA" w:rsidRDefault="00AD3DAA" w:rsidP="00AD3DAA">
            <w:pPr>
              <w:widowControl w:val="0"/>
              <w:autoSpaceDE w:val="0"/>
              <w:autoSpaceDN w:val="0"/>
              <w:adjustRightInd w:val="0"/>
              <w:spacing w:after="0" w:line="360" w:lineRule="auto"/>
              <w:ind w:right="-108"/>
              <w:jc w:val="both"/>
              <w:rPr>
                <w:rFonts w:ascii="Arial" w:eastAsia="Times New Roman" w:hAnsi="Arial" w:cs="Arial"/>
                <w:b/>
                <w:bCs/>
                <w:color w:val="000000"/>
                <w:sz w:val="20"/>
                <w:szCs w:val="20"/>
                <w:lang w:val="en-GB" w:eastAsia="en-ZA"/>
              </w:rPr>
            </w:pP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Lack of listing of chemicals.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Lack of internal policies and guidance for workers.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 xml:space="preserve">Carcinogenic and toxic chemicals. </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Inconsistent occupational health surveillance of students.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 xml:space="preserve">Poorly enforced occupationally </w:t>
            </w:r>
            <w:r w:rsidR="009B3B45" w:rsidRPr="00AD3DAA">
              <w:rPr>
                <w:rFonts w:ascii="Arial" w:eastAsia="Times New Roman" w:hAnsi="Arial" w:cs="Arial"/>
                <w:sz w:val="20"/>
                <w:szCs w:val="20"/>
                <w:lang w:val="en-US"/>
              </w:rPr>
              <w:t>focused</w:t>
            </w:r>
            <w:r w:rsidRPr="00AD3DAA">
              <w:rPr>
                <w:rFonts w:ascii="Arial" w:eastAsia="Times New Roman" w:hAnsi="Arial" w:cs="Arial"/>
                <w:sz w:val="20"/>
                <w:szCs w:val="20"/>
                <w:lang w:val="en-US"/>
              </w:rPr>
              <w:t xml:space="preserve"> service for staff.</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Blood borne and airborne infections.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Inoculation injuries (sharps).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Zoonotic infections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Injuries and infections among Oceanographic researchers.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 xml:space="preserve">Hazardous biological agents. </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Allergies (skin and rhinitis)</w:t>
            </w:r>
          </w:p>
        </w:tc>
        <w:tc>
          <w:tcPr>
            <w:tcW w:w="2460"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proofErr w:type="spellStart"/>
            <w:r w:rsidRPr="00AD3DAA">
              <w:rPr>
                <w:rFonts w:ascii="Arial" w:eastAsia="Times New Roman" w:hAnsi="Arial" w:cs="Arial"/>
                <w:sz w:val="20"/>
                <w:szCs w:val="20"/>
                <w:lang w:val="en-US" w:eastAsia="en-ZA"/>
              </w:rPr>
              <w:t>Venables</w:t>
            </w:r>
            <w:proofErr w:type="spellEnd"/>
            <w:r w:rsidRPr="00AD3DAA">
              <w:rPr>
                <w:rFonts w:ascii="Arial" w:eastAsia="Times New Roman" w:hAnsi="Arial" w:cs="Arial"/>
                <w:sz w:val="20"/>
                <w:szCs w:val="20"/>
                <w:lang w:val="en-US" w:eastAsia="en-ZA"/>
              </w:rPr>
              <w:t xml:space="preserve"> &amp; </w:t>
            </w:r>
            <w:proofErr w:type="spellStart"/>
            <w:r w:rsidRPr="00AD3DAA">
              <w:rPr>
                <w:rFonts w:ascii="Arial" w:eastAsia="Times New Roman" w:hAnsi="Arial" w:cs="Arial"/>
                <w:sz w:val="20"/>
                <w:szCs w:val="20"/>
                <w:lang w:val="en-US" w:eastAsia="en-ZA"/>
              </w:rPr>
              <w:t>Allender</w:t>
            </w:r>
            <w:proofErr w:type="spellEnd"/>
            <w:r w:rsidRPr="00AD3DAA">
              <w:rPr>
                <w:rFonts w:ascii="Arial" w:eastAsia="Times New Roman" w:hAnsi="Arial" w:cs="Arial"/>
                <w:sz w:val="20"/>
                <w:szCs w:val="20"/>
                <w:lang w:val="en-US" w:eastAsia="en-ZA"/>
              </w:rPr>
              <w:t xml:space="preserve"> (2006, pp. 162-164)</w:t>
            </w:r>
          </w:p>
          <w:p w:rsidR="00AD3DAA" w:rsidRPr="00AD3DAA" w:rsidRDefault="00AD3DAA" w:rsidP="00AD3DAA">
            <w:pPr>
              <w:spacing w:after="0" w:line="240" w:lineRule="auto"/>
              <w:ind w:right="-143"/>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HSE, (HSG 257, 2006, p.10)</w:t>
            </w:r>
          </w:p>
        </w:tc>
      </w:tr>
      <w:tr w:rsidR="00AD3DAA" w:rsidRPr="00AD3DAA" w:rsidTr="00112171">
        <w:tc>
          <w:tcPr>
            <w:tcW w:w="2084" w:type="dxa"/>
            <w:shd w:val="clear" w:color="auto" w:fill="auto"/>
          </w:tcPr>
          <w:p w:rsidR="00AD3DAA" w:rsidRPr="00AD3DAA" w:rsidRDefault="00AD3DAA" w:rsidP="00AD3DAA">
            <w:pPr>
              <w:widowControl w:val="0"/>
              <w:autoSpaceDE w:val="0"/>
              <w:autoSpaceDN w:val="0"/>
              <w:adjustRightInd w:val="0"/>
              <w:spacing w:after="0" w:line="360" w:lineRule="auto"/>
              <w:ind w:right="73"/>
              <w:jc w:val="both"/>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Engineering</w:t>
            </w: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Noise exceeding exposure limits causing hearing loss.</w:t>
            </w:r>
          </w:p>
          <w:p w:rsidR="00AD3DAA" w:rsidRPr="00AD3DAA" w:rsidRDefault="00AD3DAA" w:rsidP="00AD3DAA">
            <w:pPr>
              <w:spacing w:after="0" w:line="240" w:lineRule="auto"/>
              <w:ind w:right="-108"/>
              <w:rPr>
                <w:rFonts w:ascii="Arial" w:eastAsia="Times New Roman" w:hAnsi="Arial" w:cs="Arial"/>
                <w:sz w:val="20"/>
                <w:szCs w:val="20"/>
                <w:lang w:val="en-US"/>
              </w:rPr>
            </w:pPr>
            <w:r w:rsidRPr="00AD3DAA">
              <w:rPr>
                <w:rFonts w:ascii="Arial" w:eastAsia="Times New Roman" w:hAnsi="Arial" w:cs="Arial"/>
                <w:sz w:val="20"/>
                <w:szCs w:val="20"/>
                <w:lang w:val="en-US"/>
              </w:rPr>
              <w:t>Ergonomic (Back and Upper limb disorders).</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PPE use not adequately enforced.</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Burns and explosions.</w:t>
            </w:r>
          </w:p>
        </w:tc>
        <w:tc>
          <w:tcPr>
            <w:tcW w:w="2460"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 xml:space="preserve">Menendez, </w:t>
            </w:r>
            <w:proofErr w:type="spellStart"/>
            <w:r w:rsidRPr="00AD3DAA">
              <w:rPr>
                <w:rFonts w:ascii="Arial" w:eastAsia="Times New Roman" w:hAnsi="Arial" w:cs="Arial"/>
                <w:sz w:val="20"/>
                <w:szCs w:val="20"/>
                <w:lang w:val="en-US"/>
              </w:rPr>
              <w:t>Amick</w:t>
            </w:r>
            <w:proofErr w:type="spellEnd"/>
            <w:r w:rsidRPr="00AD3DAA">
              <w:rPr>
                <w:rFonts w:ascii="Arial" w:eastAsia="Times New Roman" w:hAnsi="Arial" w:cs="Arial"/>
                <w:sz w:val="20"/>
                <w:szCs w:val="20"/>
                <w:lang w:val="en-US"/>
              </w:rPr>
              <w:t xml:space="preserve">, Jenkins, </w:t>
            </w:r>
            <w:proofErr w:type="spellStart"/>
            <w:r w:rsidRPr="00AD3DAA">
              <w:rPr>
                <w:rFonts w:ascii="Arial" w:eastAsia="Times New Roman" w:hAnsi="Arial" w:cs="Arial"/>
                <w:sz w:val="20"/>
                <w:szCs w:val="20"/>
                <w:lang w:val="en-US"/>
              </w:rPr>
              <w:t>Caroom</w:t>
            </w:r>
            <w:proofErr w:type="spellEnd"/>
            <w:r w:rsidRPr="00AD3DAA">
              <w:rPr>
                <w:rFonts w:ascii="Arial" w:eastAsia="Times New Roman" w:hAnsi="Arial" w:cs="Arial"/>
                <w:sz w:val="20"/>
                <w:szCs w:val="20"/>
                <w:lang w:val="en-US"/>
              </w:rPr>
              <w:t xml:space="preserve">, Robertson, </w:t>
            </w:r>
            <w:proofErr w:type="spellStart"/>
            <w:r w:rsidRPr="00AD3DAA">
              <w:rPr>
                <w:rFonts w:ascii="Arial" w:eastAsia="Times New Roman" w:hAnsi="Arial" w:cs="Arial"/>
                <w:sz w:val="20"/>
                <w:szCs w:val="20"/>
                <w:lang w:val="en-US"/>
              </w:rPr>
              <w:t>Harrist</w:t>
            </w:r>
            <w:proofErr w:type="spellEnd"/>
            <w:r w:rsidRPr="00AD3DAA">
              <w:rPr>
                <w:rFonts w:ascii="Arial" w:eastAsia="Times New Roman" w:hAnsi="Arial" w:cs="Arial"/>
                <w:sz w:val="20"/>
                <w:szCs w:val="20"/>
                <w:lang w:val="en-US"/>
              </w:rPr>
              <w:t xml:space="preserve"> &amp; Katz (2009).</w:t>
            </w:r>
          </w:p>
          <w:p w:rsidR="00AD3DAA" w:rsidRPr="00AD3DAA" w:rsidRDefault="00AD3DAA" w:rsidP="00AD3DAA">
            <w:pPr>
              <w:spacing w:after="0" w:line="240" w:lineRule="auto"/>
              <w:ind w:right="-143"/>
              <w:rPr>
                <w:rFonts w:ascii="Arial" w:eastAsia="Times New Roman" w:hAnsi="Arial" w:cs="Arial"/>
                <w:sz w:val="20"/>
                <w:szCs w:val="20"/>
                <w:lang w:val="en-US"/>
              </w:rPr>
            </w:pPr>
            <w:r w:rsidRPr="00AD3DAA">
              <w:rPr>
                <w:rFonts w:ascii="Arial" w:eastAsia="Times New Roman" w:hAnsi="Arial" w:cs="Arial"/>
                <w:sz w:val="20"/>
                <w:szCs w:val="20"/>
                <w:lang w:val="en-US"/>
              </w:rPr>
              <w:t>Japan Today (Feb. 20, 2014) media report.</w:t>
            </w:r>
          </w:p>
          <w:p w:rsidR="00AD3DAA" w:rsidRPr="00AD3DAA" w:rsidRDefault="00AD3DAA" w:rsidP="00AD3DAA">
            <w:pPr>
              <w:spacing w:after="0" w:line="240" w:lineRule="auto"/>
              <w:rPr>
                <w:rFonts w:ascii="Arial" w:eastAsia="Times New Roman" w:hAnsi="Arial" w:cs="Arial"/>
                <w:color w:val="000000"/>
                <w:sz w:val="20"/>
                <w:szCs w:val="20"/>
                <w:lang w:val="en-US" w:eastAsia="en-ZA"/>
              </w:rPr>
            </w:pPr>
            <w:r w:rsidRPr="00AD3DAA">
              <w:rPr>
                <w:rFonts w:ascii="Arial" w:eastAsia="Times New Roman" w:hAnsi="Arial" w:cs="Arial"/>
                <w:color w:val="000000"/>
                <w:sz w:val="20"/>
                <w:szCs w:val="20"/>
                <w:lang w:val="en-US" w:eastAsia="en-ZA"/>
              </w:rPr>
              <w:t>UCLA Daily Bruin, (April 5, 2014) media report.</w:t>
            </w:r>
          </w:p>
          <w:p w:rsidR="00AD3DAA" w:rsidRPr="00AD3DAA" w:rsidRDefault="00AD3DAA" w:rsidP="00AD3DAA">
            <w:pPr>
              <w:spacing w:after="0" w:line="240" w:lineRule="auto"/>
              <w:ind w:right="-143"/>
              <w:rPr>
                <w:rFonts w:ascii="Arial" w:eastAsia="Times New Roman" w:hAnsi="Arial" w:cs="Arial"/>
                <w:color w:val="000000"/>
                <w:sz w:val="20"/>
                <w:szCs w:val="20"/>
                <w:lang w:val="en-US" w:eastAsia="en-ZA"/>
              </w:rPr>
            </w:pPr>
            <w:r w:rsidRPr="00AD3DAA">
              <w:rPr>
                <w:rFonts w:ascii="Arial" w:eastAsia="Times New Roman" w:hAnsi="Arial" w:cs="Arial"/>
                <w:color w:val="000000"/>
                <w:sz w:val="20"/>
                <w:szCs w:val="20"/>
                <w:lang w:val="en-US" w:eastAsia="en-ZA"/>
              </w:rPr>
              <w:t>HSE, (HSG 257, 2006, p.10)</w:t>
            </w:r>
          </w:p>
        </w:tc>
      </w:tr>
      <w:tr w:rsidR="00AD3DAA" w:rsidRPr="00AD3DAA" w:rsidTr="00112171">
        <w:tc>
          <w:tcPr>
            <w:tcW w:w="2084" w:type="dxa"/>
            <w:shd w:val="clear" w:color="auto" w:fill="auto"/>
          </w:tcPr>
          <w:p w:rsidR="00AB2B69" w:rsidRDefault="00AD3DAA"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Humanities</w:t>
            </w:r>
            <w:r w:rsidR="00AB2B69">
              <w:rPr>
                <w:rFonts w:ascii="Arial" w:eastAsia="Times New Roman" w:hAnsi="Arial" w:cs="Arial"/>
                <w:b/>
                <w:bCs/>
                <w:color w:val="000000"/>
                <w:sz w:val="20"/>
                <w:szCs w:val="20"/>
                <w:lang w:val="en-GB" w:eastAsia="en-ZA"/>
              </w:rPr>
              <w:t>,</w:t>
            </w:r>
          </w:p>
          <w:p w:rsidR="00AB2B69" w:rsidRDefault="00AB2B69"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p>
          <w:p w:rsidR="00AD3DAA" w:rsidRPr="00AD3DAA" w:rsidRDefault="00AD3DAA"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Arts</w:t>
            </w: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Silica in sandblasting.</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Wood dust</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Noise exceeding exposure limits causing hearing loss.</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 xml:space="preserve">Toluene and Methyl </w:t>
            </w:r>
            <w:proofErr w:type="spellStart"/>
            <w:r w:rsidRPr="00AD3DAA">
              <w:rPr>
                <w:rFonts w:ascii="Arial" w:eastAsia="Times New Roman" w:hAnsi="Arial" w:cs="Arial"/>
                <w:sz w:val="20"/>
                <w:szCs w:val="20"/>
                <w:lang w:val="en-US" w:eastAsia="en-ZA"/>
              </w:rPr>
              <w:t>cellosolve</w:t>
            </w:r>
            <w:proofErr w:type="spellEnd"/>
            <w:r w:rsidRPr="00AD3DAA">
              <w:rPr>
                <w:rFonts w:ascii="Arial" w:eastAsia="Times New Roman" w:hAnsi="Arial" w:cs="Arial"/>
                <w:sz w:val="20"/>
                <w:szCs w:val="20"/>
                <w:lang w:val="en-US" w:eastAsia="en-ZA"/>
              </w:rPr>
              <w:t xml:space="preserve"> acetate in painting and printmaking.</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Absence of appropriate PPE.</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Machinery and tools used incorrectly and without appropriate safety guards.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Musculoskeletal disorders among professional and university student classical musicians.</w:t>
            </w:r>
          </w:p>
          <w:p w:rsidR="00AD3DAA" w:rsidRPr="00AD3DAA" w:rsidRDefault="00AD3DAA" w:rsidP="00AD3DAA">
            <w:pPr>
              <w:spacing w:after="0" w:line="240" w:lineRule="auto"/>
              <w:rPr>
                <w:rFonts w:ascii="Arial" w:eastAsia="Times New Roman" w:hAnsi="Arial" w:cs="Arial"/>
                <w:sz w:val="20"/>
                <w:szCs w:val="20"/>
                <w:lang w:val="en-US" w:eastAsia="en-ZA"/>
              </w:rPr>
            </w:pPr>
          </w:p>
        </w:tc>
        <w:tc>
          <w:tcPr>
            <w:tcW w:w="2460"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proofErr w:type="spellStart"/>
            <w:r w:rsidRPr="00AD3DAA">
              <w:rPr>
                <w:rFonts w:ascii="Arial" w:eastAsia="Times New Roman" w:hAnsi="Arial" w:cs="Arial"/>
                <w:sz w:val="20"/>
                <w:szCs w:val="20"/>
                <w:lang w:val="en-US" w:eastAsia="en-ZA"/>
              </w:rPr>
              <w:t>Venables</w:t>
            </w:r>
            <w:proofErr w:type="spellEnd"/>
            <w:r w:rsidRPr="00AD3DAA">
              <w:rPr>
                <w:rFonts w:ascii="Arial" w:eastAsia="Times New Roman" w:hAnsi="Arial" w:cs="Arial"/>
                <w:sz w:val="20"/>
                <w:szCs w:val="20"/>
                <w:lang w:val="en-US" w:eastAsia="en-ZA"/>
              </w:rPr>
              <w:t xml:space="preserve"> &amp; </w:t>
            </w:r>
            <w:proofErr w:type="spellStart"/>
            <w:r w:rsidRPr="00AD3DAA">
              <w:rPr>
                <w:rFonts w:ascii="Arial" w:eastAsia="Times New Roman" w:hAnsi="Arial" w:cs="Arial"/>
                <w:sz w:val="20"/>
                <w:szCs w:val="20"/>
                <w:lang w:val="en-US" w:eastAsia="en-ZA"/>
              </w:rPr>
              <w:t>Allender</w:t>
            </w:r>
            <w:proofErr w:type="spellEnd"/>
            <w:r w:rsidRPr="00AD3DAA">
              <w:rPr>
                <w:rFonts w:ascii="Arial" w:eastAsia="Times New Roman" w:hAnsi="Arial" w:cs="Arial"/>
                <w:sz w:val="20"/>
                <w:szCs w:val="20"/>
                <w:lang w:val="en-US" w:eastAsia="en-ZA"/>
              </w:rPr>
              <w:t xml:space="preserve"> (2006, pp. 162-164)</w:t>
            </w:r>
          </w:p>
          <w:p w:rsidR="00AD3DAA" w:rsidRPr="00AD3DAA" w:rsidRDefault="00AD3DAA" w:rsidP="00AD3DAA">
            <w:pPr>
              <w:spacing w:after="0" w:line="240" w:lineRule="auto"/>
              <w:ind w:right="-143"/>
              <w:rPr>
                <w:rFonts w:ascii="Arial" w:eastAsia="Times New Roman" w:hAnsi="Arial" w:cs="Arial"/>
                <w:color w:val="000000"/>
                <w:sz w:val="20"/>
                <w:szCs w:val="20"/>
                <w:lang w:val="en-US" w:eastAsia="en-ZA"/>
              </w:rPr>
            </w:pPr>
            <w:r w:rsidRPr="00AD3DAA">
              <w:rPr>
                <w:rFonts w:ascii="Arial" w:eastAsia="Times New Roman" w:hAnsi="Arial" w:cs="Arial"/>
                <w:color w:val="000000"/>
                <w:sz w:val="20"/>
                <w:szCs w:val="20"/>
                <w:lang w:val="en-US" w:eastAsia="en-ZA"/>
              </w:rPr>
              <w:t>HSE, (HSG 257, 2006, p.10)</w:t>
            </w:r>
          </w:p>
        </w:tc>
      </w:tr>
      <w:tr w:rsidR="00AD3DAA" w:rsidRPr="00AD3DAA" w:rsidTr="00112171">
        <w:tc>
          <w:tcPr>
            <w:tcW w:w="2084" w:type="dxa"/>
            <w:shd w:val="clear" w:color="auto" w:fill="auto"/>
          </w:tcPr>
          <w:p w:rsidR="00AD3DAA" w:rsidRPr="00AD3DAA" w:rsidRDefault="00AD3DAA" w:rsidP="00AD3DAA">
            <w:pPr>
              <w:widowControl w:val="0"/>
              <w:autoSpaceDE w:val="0"/>
              <w:autoSpaceDN w:val="0"/>
              <w:adjustRightInd w:val="0"/>
              <w:spacing w:after="0" w:line="360" w:lineRule="auto"/>
              <w:ind w:right="73"/>
              <w:jc w:val="both"/>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Support services</w:t>
            </w: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PPE use not adequately enforced.</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Lead exposure</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Musculoskeletal disorders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Ergonomic (Back and Upper limb disorders).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Respiratory irritants.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Noise induced hearing loss.</w:t>
            </w:r>
          </w:p>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rPr>
              <w:t>Skin irritants.</w:t>
            </w:r>
          </w:p>
        </w:tc>
        <w:tc>
          <w:tcPr>
            <w:tcW w:w="2460"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proofErr w:type="spellStart"/>
            <w:r w:rsidRPr="00AD3DAA">
              <w:rPr>
                <w:rFonts w:ascii="Arial" w:eastAsia="Times New Roman" w:hAnsi="Arial" w:cs="Arial"/>
                <w:sz w:val="20"/>
                <w:szCs w:val="20"/>
                <w:lang w:val="en-US" w:eastAsia="en-ZA"/>
              </w:rPr>
              <w:t>Venables</w:t>
            </w:r>
            <w:proofErr w:type="spellEnd"/>
            <w:r w:rsidRPr="00AD3DAA">
              <w:rPr>
                <w:rFonts w:ascii="Arial" w:eastAsia="Times New Roman" w:hAnsi="Arial" w:cs="Arial"/>
                <w:sz w:val="20"/>
                <w:szCs w:val="20"/>
                <w:lang w:val="en-US" w:eastAsia="en-ZA"/>
              </w:rPr>
              <w:t xml:space="preserve"> &amp; </w:t>
            </w:r>
            <w:proofErr w:type="spellStart"/>
            <w:r w:rsidRPr="00AD3DAA">
              <w:rPr>
                <w:rFonts w:ascii="Arial" w:eastAsia="Times New Roman" w:hAnsi="Arial" w:cs="Arial"/>
                <w:sz w:val="20"/>
                <w:szCs w:val="20"/>
                <w:lang w:val="en-US" w:eastAsia="en-ZA"/>
              </w:rPr>
              <w:t>Allender</w:t>
            </w:r>
            <w:proofErr w:type="spellEnd"/>
            <w:r w:rsidRPr="00AD3DAA">
              <w:rPr>
                <w:rFonts w:ascii="Arial" w:eastAsia="Times New Roman" w:hAnsi="Arial" w:cs="Arial"/>
                <w:sz w:val="20"/>
                <w:szCs w:val="20"/>
                <w:lang w:val="en-US" w:eastAsia="en-ZA"/>
              </w:rPr>
              <w:t xml:space="preserve"> (2006, pp. 162-164)</w:t>
            </w:r>
          </w:p>
          <w:p w:rsidR="00AD3DAA" w:rsidRPr="00AD3DAA" w:rsidRDefault="00AD3DAA" w:rsidP="00AD3DAA">
            <w:pPr>
              <w:spacing w:after="0" w:line="240" w:lineRule="auto"/>
              <w:ind w:right="-143"/>
              <w:rPr>
                <w:rFonts w:ascii="Arial" w:eastAsia="Times New Roman" w:hAnsi="Arial" w:cs="Arial"/>
                <w:color w:val="000000"/>
                <w:sz w:val="20"/>
                <w:szCs w:val="20"/>
                <w:lang w:val="en-US" w:eastAsia="en-ZA"/>
              </w:rPr>
            </w:pPr>
            <w:r w:rsidRPr="00AD3DAA">
              <w:rPr>
                <w:rFonts w:ascii="Arial" w:eastAsia="Times New Roman" w:hAnsi="Arial" w:cs="Arial"/>
                <w:color w:val="000000"/>
                <w:sz w:val="20"/>
                <w:szCs w:val="20"/>
                <w:lang w:val="en-US" w:eastAsia="en-ZA"/>
              </w:rPr>
              <w:t>HSE, (HSG 257, 2006, p.10)</w:t>
            </w:r>
          </w:p>
        </w:tc>
      </w:tr>
      <w:tr w:rsidR="00AD3DAA" w:rsidRPr="00AD3DAA" w:rsidTr="00112171">
        <w:tc>
          <w:tcPr>
            <w:tcW w:w="2084" w:type="dxa"/>
            <w:shd w:val="clear" w:color="auto" w:fill="auto"/>
          </w:tcPr>
          <w:p w:rsidR="00AB2B69" w:rsidRDefault="00AD3DAA"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Commerce</w:t>
            </w:r>
            <w:r w:rsidR="00AB2B69">
              <w:rPr>
                <w:rFonts w:ascii="Arial" w:eastAsia="Times New Roman" w:hAnsi="Arial" w:cs="Arial"/>
                <w:b/>
                <w:bCs/>
                <w:color w:val="000000"/>
                <w:sz w:val="20"/>
                <w:szCs w:val="20"/>
                <w:lang w:val="en-GB" w:eastAsia="en-ZA"/>
              </w:rPr>
              <w:t>,</w:t>
            </w:r>
            <w:r w:rsidRPr="00AD3DAA">
              <w:rPr>
                <w:rFonts w:ascii="Arial" w:eastAsia="Times New Roman" w:hAnsi="Arial" w:cs="Arial"/>
                <w:b/>
                <w:bCs/>
                <w:color w:val="000000"/>
                <w:sz w:val="20"/>
                <w:szCs w:val="20"/>
                <w:lang w:val="en-GB" w:eastAsia="en-ZA"/>
              </w:rPr>
              <w:t xml:space="preserve"> </w:t>
            </w:r>
          </w:p>
          <w:p w:rsidR="00AB2B69" w:rsidRDefault="00AB2B69"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p>
          <w:p w:rsidR="00AD3DAA" w:rsidRPr="00AD3DAA" w:rsidRDefault="00AD3DAA" w:rsidP="00AB2B69">
            <w:pPr>
              <w:widowControl w:val="0"/>
              <w:autoSpaceDE w:val="0"/>
              <w:autoSpaceDN w:val="0"/>
              <w:adjustRightInd w:val="0"/>
              <w:spacing w:after="0" w:line="240" w:lineRule="auto"/>
              <w:ind w:right="73"/>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Management Studies</w:t>
            </w: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Musculoskeletal disorders</w:t>
            </w:r>
          </w:p>
          <w:p w:rsidR="00AD3DAA" w:rsidRPr="00AD3DAA" w:rsidRDefault="00AD3DAA" w:rsidP="00AD3DAA">
            <w:pPr>
              <w:spacing w:after="0" w:line="240" w:lineRule="auto"/>
              <w:ind w:right="-108"/>
              <w:rPr>
                <w:rFonts w:ascii="Arial" w:eastAsia="Times New Roman" w:hAnsi="Arial" w:cs="Arial"/>
                <w:b/>
                <w:sz w:val="20"/>
                <w:szCs w:val="20"/>
                <w:lang w:val="en-US" w:eastAsia="en-ZA"/>
              </w:rPr>
            </w:pPr>
            <w:r w:rsidRPr="00AD3DAA">
              <w:rPr>
                <w:rFonts w:ascii="Arial" w:eastAsia="Times New Roman" w:hAnsi="Arial" w:cs="Arial"/>
                <w:sz w:val="20"/>
                <w:szCs w:val="20"/>
                <w:lang w:val="en-US"/>
              </w:rPr>
              <w:t>Ergonomic (Back and Upper limb disorders).</w:t>
            </w:r>
          </w:p>
        </w:tc>
        <w:tc>
          <w:tcPr>
            <w:tcW w:w="2460" w:type="dxa"/>
            <w:shd w:val="clear" w:color="auto" w:fill="auto"/>
          </w:tcPr>
          <w:p w:rsidR="00AD3DAA" w:rsidRPr="00AD3DAA" w:rsidRDefault="00AD3DAA" w:rsidP="00AD3DAA">
            <w:pPr>
              <w:widowControl w:val="0"/>
              <w:autoSpaceDE w:val="0"/>
              <w:autoSpaceDN w:val="0"/>
              <w:adjustRightInd w:val="0"/>
              <w:spacing w:after="0" w:line="360" w:lineRule="auto"/>
              <w:ind w:right="-143"/>
              <w:rPr>
                <w:rFonts w:ascii="Arial" w:eastAsia="Times New Roman" w:hAnsi="Arial" w:cs="Arial"/>
                <w:bCs/>
                <w:color w:val="000000"/>
                <w:sz w:val="20"/>
                <w:szCs w:val="20"/>
                <w:lang w:val="en-GB" w:eastAsia="en-ZA"/>
              </w:rPr>
            </w:pPr>
            <w:r w:rsidRPr="00AD3DAA">
              <w:rPr>
                <w:rFonts w:ascii="Arial" w:eastAsia="Times New Roman" w:hAnsi="Arial" w:cs="Arial"/>
                <w:bCs/>
                <w:color w:val="000000"/>
                <w:sz w:val="20"/>
                <w:szCs w:val="20"/>
                <w:lang w:val="en-GB" w:eastAsia="en-ZA"/>
              </w:rPr>
              <w:t>HSE, (HSG 257, 2006, p.10)</w:t>
            </w:r>
          </w:p>
        </w:tc>
      </w:tr>
      <w:tr w:rsidR="00AD3DAA" w:rsidRPr="00AD3DAA" w:rsidTr="00112171">
        <w:tc>
          <w:tcPr>
            <w:tcW w:w="2084" w:type="dxa"/>
            <w:shd w:val="clear" w:color="auto" w:fill="auto"/>
          </w:tcPr>
          <w:p w:rsidR="00AD3DAA" w:rsidRPr="00AD3DAA" w:rsidRDefault="00AD3DAA" w:rsidP="00AD3DAA">
            <w:pPr>
              <w:widowControl w:val="0"/>
              <w:autoSpaceDE w:val="0"/>
              <w:autoSpaceDN w:val="0"/>
              <w:adjustRightInd w:val="0"/>
              <w:spacing w:after="0" w:line="360" w:lineRule="auto"/>
              <w:ind w:right="73"/>
              <w:rPr>
                <w:rFonts w:ascii="Arial" w:eastAsia="Times New Roman" w:hAnsi="Arial" w:cs="Arial"/>
                <w:b/>
                <w:bCs/>
                <w:color w:val="000000"/>
                <w:sz w:val="20"/>
                <w:szCs w:val="20"/>
                <w:lang w:val="en-GB" w:eastAsia="en-ZA"/>
              </w:rPr>
            </w:pPr>
            <w:r w:rsidRPr="00AD3DAA">
              <w:rPr>
                <w:rFonts w:ascii="Arial" w:eastAsia="Times New Roman" w:hAnsi="Arial" w:cs="Arial"/>
                <w:b/>
                <w:bCs/>
                <w:color w:val="000000"/>
                <w:sz w:val="20"/>
                <w:szCs w:val="20"/>
                <w:lang w:val="en-GB" w:eastAsia="en-ZA"/>
              </w:rPr>
              <w:t>Law</w:t>
            </w:r>
          </w:p>
        </w:tc>
        <w:tc>
          <w:tcPr>
            <w:tcW w:w="4091" w:type="dxa"/>
            <w:shd w:val="clear" w:color="auto" w:fill="auto"/>
          </w:tcPr>
          <w:p w:rsidR="00AD3DAA" w:rsidRPr="00AD3DAA" w:rsidRDefault="00AD3DAA" w:rsidP="00AD3DAA">
            <w:pPr>
              <w:spacing w:after="0" w:line="240" w:lineRule="auto"/>
              <w:rPr>
                <w:rFonts w:ascii="Arial" w:eastAsia="Times New Roman" w:hAnsi="Arial" w:cs="Arial"/>
                <w:sz w:val="20"/>
                <w:szCs w:val="20"/>
                <w:lang w:val="en-US" w:eastAsia="en-ZA"/>
              </w:rPr>
            </w:pPr>
            <w:r w:rsidRPr="00AD3DAA">
              <w:rPr>
                <w:rFonts w:ascii="Arial" w:eastAsia="Times New Roman" w:hAnsi="Arial" w:cs="Arial"/>
                <w:sz w:val="20"/>
                <w:szCs w:val="20"/>
                <w:lang w:val="en-US" w:eastAsia="en-ZA"/>
              </w:rPr>
              <w:t>Exposure to airborne infectious diseases.</w:t>
            </w:r>
          </w:p>
          <w:p w:rsidR="00AD3DAA" w:rsidRPr="00AD3DAA" w:rsidRDefault="00AD3DAA" w:rsidP="00AD3DAA">
            <w:pPr>
              <w:spacing w:after="0" w:line="240" w:lineRule="auto"/>
              <w:rPr>
                <w:rFonts w:ascii="Arial" w:eastAsia="Times New Roman" w:hAnsi="Arial" w:cs="Arial"/>
                <w:sz w:val="20"/>
                <w:szCs w:val="20"/>
                <w:lang w:val="en-US"/>
              </w:rPr>
            </w:pPr>
            <w:r w:rsidRPr="00AD3DAA">
              <w:rPr>
                <w:rFonts w:ascii="Arial" w:eastAsia="Times New Roman" w:hAnsi="Arial" w:cs="Arial"/>
                <w:sz w:val="20"/>
                <w:szCs w:val="20"/>
                <w:lang w:val="en-US"/>
              </w:rPr>
              <w:t>Musculoskeletal disorders</w:t>
            </w:r>
          </w:p>
          <w:p w:rsidR="00AD3DAA" w:rsidRPr="00AD3DAA" w:rsidRDefault="00AD3DAA" w:rsidP="00AD3DAA">
            <w:pPr>
              <w:spacing w:after="0" w:line="240" w:lineRule="auto"/>
              <w:ind w:right="-108"/>
              <w:rPr>
                <w:rFonts w:ascii="Arial" w:eastAsia="Times New Roman" w:hAnsi="Arial" w:cs="Arial"/>
                <w:sz w:val="20"/>
                <w:szCs w:val="20"/>
                <w:lang w:val="en-US" w:eastAsia="en-ZA"/>
              </w:rPr>
            </w:pPr>
            <w:r w:rsidRPr="00AD3DAA">
              <w:rPr>
                <w:rFonts w:ascii="Arial" w:eastAsia="Times New Roman" w:hAnsi="Arial" w:cs="Arial"/>
                <w:sz w:val="20"/>
                <w:szCs w:val="20"/>
                <w:lang w:val="en-US"/>
              </w:rPr>
              <w:t>Ergonomic (Back and Upper limb disorders).</w:t>
            </w:r>
            <w:r w:rsidRPr="00AD3DAA">
              <w:rPr>
                <w:rFonts w:ascii="Arial" w:eastAsia="Times New Roman" w:hAnsi="Arial" w:cs="Arial"/>
                <w:sz w:val="20"/>
                <w:szCs w:val="20"/>
                <w:lang w:val="en-US" w:eastAsia="en-ZA"/>
              </w:rPr>
              <w:t xml:space="preserve"> </w:t>
            </w:r>
          </w:p>
        </w:tc>
        <w:tc>
          <w:tcPr>
            <w:tcW w:w="2460" w:type="dxa"/>
            <w:shd w:val="clear" w:color="auto" w:fill="auto"/>
          </w:tcPr>
          <w:p w:rsidR="00AD3DAA" w:rsidRPr="00AD3DAA" w:rsidRDefault="00AD3DAA" w:rsidP="00AD3DAA">
            <w:pPr>
              <w:widowControl w:val="0"/>
              <w:autoSpaceDE w:val="0"/>
              <w:autoSpaceDN w:val="0"/>
              <w:adjustRightInd w:val="0"/>
              <w:spacing w:after="0" w:line="360" w:lineRule="auto"/>
              <w:ind w:right="-143"/>
              <w:rPr>
                <w:rFonts w:ascii="Arial" w:eastAsia="Times New Roman" w:hAnsi="Arial" w:cs="Arial"/>
                <w:b/>
                <w:bCs/>
                <w:color w:val="000000"/>
                <w:sz w:val="20"/>
                <w:szCs w:val="20"/>
                <w:lang w:val="en-GB" w:eastAsia="en-ZA"/>
              </w:rPr>
            </w:pPr>
            <w:r w:rsidRPr="00AD3DAA">
              <w:rPr>
                <w:rFonts w:ascii="Arial" w:eastAsia="Times New Roman" w:hAnsi="Arial" w:cs="Arial"/>
                <w:bCs/>
                <w:color w:val="000000"/>
                <w:sz w:val="20"/>
                <w:szCs w:val="20"/>
                <w:lang w:val="en-GB" w:eastAsia="en-ZA"/>
              </w:rPr>
              <w:t>HSE, (HSG 257, 2006, p.10)</w:t>
            </w:r>
          </w:p>
        </w:tc>
      </w:tr>
    </w:tbl>
    <w:p w:rsidR="00112171" w:rsidRDefault="00112171" w:rsidP="00854CB5">
      <w:pPr>
        <w:pStyle w:val="NoSpacing"/>
        <w:spacing w:line="360" w:lineRule="auto"/>
        <w:jc w:val="both"/>
        <w:rPr>
          <w:rFonts w:ascii="Times New Roman" w:hAnsi="Times New Roman" w:cs="Times New Roman"/>
          <w:b/>
          <w:sz w:val="24"/>
          <w:szCs w:val="24"/>
        </w:rPr>
      </w:pPr>
    </w:p>
    <w:p w:rsidR="00112171" w:rsidRDefault="00112171" w:rsidP="00854CB5">
      <w:pPr>
        <w:pStyle w:val="NoSpacing"/>
        <w:spacing w:line="360" w:lineRule="auto"/>
        <w:jc w:val="both"/>
        <w:rPr>
          <w:rFonts w:ascii="Times New Roman" w:hAnsi="Times New Roman" w:cs="Times New Roman"/>
          <w:b/>
          <w:sz w:val="24"/>
          <w:szCs w:val="24"/>
        </w:rPr>
      </w:pPr>
    </w:p>
    <w:p w:rsidR="00AB2B69" w:rsidRDefault="00854CB5" w:rsidP="00854CB5">
      <w:pPr>
        <w:pStyle w:val="NoSpacing"/>
        <w:spacing w:line="360" w:lineRule="auto"/>
        <w:jc w:val="both"/>
        <w:rPr>
          <w:rFonts w:ascii="Times New Roman" w:hAnsi="Times New Roman" w:cs="Times New Roman"/>
          <w:b/>
          <w:sz w:val="24"/>
          <w:szCs w:val="24"/>
        </w:rPr>
      </w:pPr>
      <w:r w:rsidRPr="00EC0BA3">
        <w:rPr>
          <w:rFonts w:ascii="Times New Roman" w:hAnsi="Times New Roman" w:cs="Times New Roman"/>
          <w:b/>
          <w:sz w:val="24"/>
          <w:szCs w:val="24"/>
        </w:rPr>
        <w:lastRenderedPageBreak/>
        <w:t xml:space="preserve">Appendix </w:t>
      </w:r>
      <w:r w:rsidR="00AD3DAA" w:rsidRPr="00EC0BA3">
        <w:rPr>
          <w:rFonts w:ascii="Times New Roman" w:hAnsi="Times New Roman" w:cs="Times New Roman"/>
          <w:b/>
          <w:sz w:val="24"/>
          <w:szCs w:val="24"/>
        </w:rPr>
        <w:t>C</w:t>
      </w:r>
      <w:r w:rsidR="00AB2B69" w:rsidRPr="00EC0BA3">
        <w:rPr>
          <w:rFonts w:ascii="Times New Roman" w:hAnsi="Times New Roman" w:cs="Times New Roman"/>
          <w:b/>
          <w:sz w:val="24"/>
          <w:szCs w:val="24"/>
        </w:rPr>
        <w:t xml:space="preserve">: Safety oversights reported in </w:t>
      </w:r>
      <w:r w:rsidR="00EC0BA3">
        <w:rPr>
          <w:rFonts w:ascii="Times New Roman" w:hAnsi="Times New Roman" w:cs="Times New Roman"/>
          <w:b/>
          <w:sz w:val="24"/>
          <w:szCs w:val="24"/>
        </w:rPr>
        <w:t>h</w:t>
      </w:r>
      <w:r w:rsidR="00AB2B69" w:rsidRPr="00EC0BA3">
        <w:rPr>
          <w:rFonts w:ascii="Times New Roman" w:hAnsi="Times New Roman" w:cs="Times New Roman"/>
          <w:b/>
          <w:sz w:val="24"/>
          <w:szCs w:val="24"/>
        </w:rPr>
        <w:t>ealth and safety committee minutes</w:t>
      </w:r>
    </w:p>
    <w:p w:rsidR="00112171" w:rsidRPr="00112171" w:rsidRDefault="00112171" w:rsidP="00854CB5">
      <w:pPr>
        <w:pStyle w:val="NoSpacing"/>
        <w:spacing w:line="360" w:lineRule="auto"/>
        <w:jc w:val="both"/>
        <w:rPr>
          <w:rFonts w:ascii="Times New Roman" w:hAnsi="Times New Roman" w:cs="Times New Roman"/>
          <w:b/>
          <w:sz w:val="24"/>
          <w:szCs w:val="24"/>
        </w:rPr>
      </w:pPr>
      <w:r w:rsidRPr="00033BD9">
        <w:rPr>
          <w:rFonts w:ascii="Arial" w:hAnsi="Arial" w:cs="Arial"/>
          <w:b/>
          <w:noProof/>
          <w:lang w:eastAsia="en-ZA"/>
        </w:rPr>
        <mc:AlternateContent>
          <mc:Choice Requires="wps">
            <w:drawing>
              <wp:anchor distT="0" distB="0" distL="114300" distR="114300" simplePos="0" relativeHeight="251659264" behindDoc="0" locked="0" layoutInCell="1" allowOverlap="1" wp14:anchorId="381948E9" wp14:editId="3D0EDBED">
                <wp:simplePos x="0" y="0"/>
                <wp:positionH relativeFrom="column">
                  <wp:posOffset>40006</wp:posOffset>
                </wp:positionH>
                <wp:positionV relativeFrom="paragraph">
                  <wp:posOffset>70485</wp:posOffset>
                </wp:positionV>
                <wp:extent cx="5505450" cy="1524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505450" cy="1524000"/>
                        </a:xfrm>
                        <a:prstGeom prst="rect">
                          <a:avLst/>
                        </a:prstGeom>
                        <a:noFill/>
                        <a:ln w="12700" cap="flat" cmpd="sng" algn="ctr">
                          <a:solidFill>
                            <a:schemeClr val="tx1"/>
                          </a:solidFill>
                          <a:prstDash val="solid"/>
                        </a:ln>
                        <a:effectLst/>
                      </wps:spPr>
                      <wps:txbx>
                        <w:txbxContent>
                          <w:p w:rsidR="00854CB5" w:rsidRPr="00C95A97" w:rsidRDefault="00854CB5" w:rsidP="00854CB5">
                            <w:pPr>
                              <w:jc w:val="both"/>
                              <w:rPr>
                                <w:rFonts w:ascii="Arial" w:hAnsi="Arial" w:cs="Arial"/>
                                <w:b/>
                              </w:rPr>
                            </w:pPr>
                            <w:r w:rsidRPr="00C95A97">
                              <w:rPr>
                                <w:rFonts w:ascii="Arial" w:hAnsi="Arial" w:cs="Arial"/>
                                <w:b/>
                              </w:rPr>
                              <w:t>Box 2: Health and safety meeting minutes as a problem indicator</w:t>
                            </w:r>
                          </w:p>
                          <w:p w:rsidR="00854CB5" w:rsidRPr="009827F7" w:rsidRDefault="00854CB5" w:rsidP="00112171">
                            <w:pPr>
                              <w:spacing w:line="240" w:lineRule="auto"/>
                              <w:jc w:val="both"/>
                              <w:rPr>
                                <w:sz w:val="20"/>
                                <w:szCs w:val="20"/>
                              </w:rPr>
                            </w:pPr>
                            <w:r w:rsidRPr="009827F7">
                              <w:rPr>
                                <w:rFonts w:ascii="Arial" w:hAnsi="Arial" w:cs="Arial"/>
                                <w:sz w:val="20"/>
                                <w:szCs w:val="20"/>
                              </w:rPr>
                              <w:t>The incident investigation revealed that cleaning staff did not use signage and a similar case revealed that where signage was used; it was placed in an obscure place where building occupants did not benefit from the use of warning signs. The seemingly minor oversight resulted in injuries on duty due to staff slipping and falling on wet floors. The importance of enforcing health and safety compliance</w:t>
                            </w:r>
                            <w:r>
                              <w:rPr>
                                <w:rFonts w:ascii="Arial" w:hAnsi="Arial" w:cs="Arial"/>
                                <w:sz w:val="20"/>
                                <w:szCs w:val="20"/>
                              </w:rPr>
                              <w:t xml:space="preserve">, </w:t>
                            </w:r>
                            <w:r w:rsidRPr="009827F7">
                              <w:rPr>
                                <w:rFonts w:ascii="Arial" w:hAnsi="Arial" w:cs="Arial"/>
                                <w:sz w:val="20"/>
                                <w:szCs w:val="20"/>
                              </w:rPr>
                              <w:t>training staff to understand the importance of following safe operating procedures and monitoring the effectiveness of health and safety systems becomes evident from this 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3.15pt;margin-top:5.55pt;width:433.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" filled="f" strokecolor="black [3213]" strokeweight="1pt">
                <v:textbox>
                  <w:txbxContent>
                    <w:p w:rsidR="00854CB5" w:rsidRPr="00C95A97" w:rsidRDefault="00854CB5" w:rsidP="00854CB5">
                      <w:pPr>
                        <w:jc w:val="both"/>
                        <w:rPr>
                          <w:rFonts w:ascii="Arial" w:hAnsi="Arial" w:cs="Arial"/>
                          <w:b/>
                        </w:rPr>
                      </w:pPr>
                      <w:r w:rsidRPr="00C95A97">
                        <w:rPr>
                          <w:rFonts w:ascii="Arial" w:hAnsi="Arial" w:cs="Arial"/>
                          <w:b/>
                        </w:rPr>
                        <w:t>Box 2: Health and safety meeting minutes as a problem indicator</w:t>
                      </w:r>
                    </w:p>
                    <w:p w:rsidR="00854CB5" w:rsidRPr="009827F7" w:rsidRDefault="00854CB5" w:rsidP="00112171">
                      <w:pPr>
                        <w:spacing w:line="240" w:lineRule="auto"/>
                        <w:jc w:val="both"/>
                        <w:rPr>
                          <w:sz w:val="20"/>
                          <w:szCs w:val="20"/>
                        </w:rPr>
                      </w:pPr>
                      <w:r w:rsidRPr="009827F7">
                        <w:rPr>
                          <w:rFonts w:ascii="Arial" w:hAnsi="Arial" w:cs="Arial"/>
                          <w:sz w:val="20"/>
                          <w:szCs w:val="20"/>
                        </w:rPr>
                        <w:t>The incident investigation revealed that cleaning staff did not use signage and a similar case revealed that where signage was used; it was placed in an obscure place where building occupants did not benefit from the use of warning signs. The seemingly minor oversight resulted in injuries on duty due to staff slipping and falling on wet floors. The importance of enforcing health and safety compliance</w:t>
                      </w:r>
                      <w:r>
                        <w:rPr>
                          <w:rFonts w:ascii="Arial" w:hAnsi="Arial" w:cs="Arial"/>
                          <w:sz w:val="20"/>
                          <w:szCs w:val="20"/>
                        </w:rPr>
                        <w:t xml:space="preserve">, </w:t>
                      </w:r>
                      <w:r w:rsidRPr="009827F7">
                        <w:rPr>
                          <w:rFonts w:ascii="Arial" w:hAnsi="Arial" w:cs="Arial"/>
                          <w:sz w:val="20"/>
                          <w:szCs w:val="20"/>
                        </w:rPr>
                        <w:t>training staff to understand the importance of following safe operating procedures and monitoring the effectiveness of health and safety systems becomes evident from this example.</w:t>
                      </w:r>
                    </w:p>
                  </w:txbxContent>
                </v:textbox>
              </v:rect>
            </w:pict>
          </mc:Fallback>
        </mc:AlternateContent>
      </w:r>
    </w:p>
    <w:p w:rsidR="00854CB5" w:rsidRDefault="00854CB5" w:rsidP="00854CB5"/>
    <w:p w:rsidR="003D7919" w:rsidRDefault="003D7919"/>
    <w:p w:rsidR="003D7919" w:rsidRPr="003D7919" w:rsidRDefault="003D7919" w:rsidP="003D7919"/>
    <w:p w:rsidR="003D7919" w:rsidRPr="003D7919" w:rsidRDefault="003D7919" w:rsidP="003D7919"/>
    <w:p w:rsidR="00112171" w:rsidRPr="003D7919" w:rsidRDefault="00112171" w:rsidP="003D7919"/>
    <w:p w:rsidR="003D7919" w:rsidRDefault="003D7919" w:rsidP="003D7919">
      <w:pPr>
        <w:pStyle w:val="NoSpacing"/>
        <w:spacing w:line="360" w:lineRule="auto"/>
        <w:jc w:val="both"/>
        <w:rPr>
          <w:rFonts w:ascii="Times New Roman" w:hAnsi="Times New Roman" w:cs="Times New Roman"/>
          <w:b/>
          <w:sz w:val="24"/>
          <w:szCs w:val="24"/>
        </w:rPr>
      </w:pPr>
      <w:r w:rsidRPr="00EC0BA3">
        <w:rPr>
          <w:rFonts w:ascii="Times New Roman" w:hAnsi="Times New Roman" w:cs="Times New Roman"/>
          <w:b/>
          <w:sz w:val="24"/>
          <w:szCs w:val="24"/>
        </w:rPr>
        <w:t xml:space="preserve">Appendix </w:t>
      </w:r>
      <w:r>
        <w:rPr>
          <w:rFonts w:ascii="Times New Roman" w:hAnsi="Times New Roman" w:cs="Times New Roman"/>
          <w:b/>
          <w:sz w:val="24"/>
          <w:szCs w:val="24"/>
        </w:rPr>
        <w:t>D</w:t>
      </w:r>
      <w:r w:rsidRPr="00EC0BA3">
        <w:rPr>
          <w:rFonts w:ascii="Times New Roman" w:hAnsi="Times New Roman" w:cs="Times New Roman"/>
          <w:b/>
          <w:sz w:val="24"/>
          <w:szCs w:val="24"/>
        </w:rPr>
        <w:t xml:space="preserve">: </w:t>
      </w:r>
      <w:r w:rsidR="001A6886">
        <w:rPr>
          <w:rFonts w:ascii="Times New Roman" w:hAnsi="Times New Roman" w:cs="Times New Roman"/>
          <w:b/>
          <w:sz w:val="24"/>
          <w:szCs w:val="24"/>
        </w:rPr>
        <w:t>I</w:t>
      </w:r>
      <w:r>
        <w:rPr>
          <w:rFonts w:ascii="Times New Roman" w:hAnsi="Times New Roman" w:cs="Times New Roman"/>
          <w:b/>
          <w:sz w:val="24"/>
          <w:szCs w:val="24"/>
        </w:rPr>
        <w:t>njury prevention strategies at participating HE institutions</w:t>
      </w:r>
    </w:p>
    <w:p w:rsidR="003D7919" w:rsidRPr="003D7919" w:rsidRDefault="003D7919" w:rsidP="003D7919">
      <w:pPr>
        <w:spacing w:after="0" w:line="240" w:lineRule="auto"/>
        <w:rPr>
          <w:rFonts w:ascii="Times New Roman" w:eastAsia="Calibri" w:hAnsi="Times New Roman" w:cs="Times New Roman"/>
          <w:b/>
          <w:sz w:val="24"/>
          <w:szCs w:val="24"/>
        </w:rPr>
      </w:pPr>
      <w:r w:rsidRPr="003D7919">
        <w:rPr>
          <w:rFonts w:ascii="Times New Roman" w:eastAsia="Calibri" w:hAnsi="Times New Roman" w:cs="Times New Roman"/>
          <w:b/>
          <w:sz w:val="24"/>
          <w:szCs w:val="24"/>
        </w:rPr>
        <w:t xml:space="preserve">Table </w:t>
      </w:r>
      <w:r w:rsidR="00E30B59">
        <w:rPr>
          <w:rFonts w:ascii="Times New Roman" w:eastAsia="Calibri" w:hAnsi="Times New Roman" w:cs="Times New Roman"/>
          <w:b/>
          <w:sz w:val="24"/>
          <w:szCs w:val="24"/>
        </w:rPr>
        <w:t>2</w:t>
      </w:r>
      <w:r w:rsidRPr="003D7919">
        <w:rPr>
          <w:rFonts w:ascii="Times New Roman" w:eastAsia="Calibri" w:hAnsi="Times New Roman" w:cs="Times New Roman"/>
          <w:b/>
          <w:sz w:val="24"/>
          <w:szCs w:val="24"/>
        </w:rPr>
        <w:t>: Documented support of the OHS Management system</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1275"/>
        <w:gridCol w:w="1276"/>
        <w:gridCol w:w="1276"/>
      </w:tblGrid>
      <w:tr w:rsidR="003D7919" w:rsidRPr="00640DF1" w:rsidTr="00F93E58">
        <w:trPr>
          <w:trHeight w:val="291"/>
        </w:trPr>
        <w:tc>
          <w:tcPr>
            <w:tcW w:w="3544" w:type="dxa"/>
            <w:vMerge w:val="restart"/>
            <w:shd w:val="clear" w:color="auto" w:fill="B6DDE8" w:themeFill="accent5" w:themeFillTint="66"/>
          </w:tcPr>
          <w:p w:rsidR="003D7919" w:rsidRPr="00640DF1" w:rsidRDefault="003D7919" w:rsidP="00DE6BC9">
            <w:pPr>
              <w:spacing w:after="0" w:line="240" w:lineRule="auto"/>
              <w:rPr>
                <w:rFonts w:ascii="Arial" w:eastAsia="Calibri" w:hAnsi="Arial" w:cs="Arial"/>
                <w:b/>
                <w:sz w:val="20"/>
                <w:szCs w:val="20"/>
                <w:lang w:val="en-US"/>
              </w:rPr>
            </w:pPr>
            <w:r w:rsidRPr="00640DF1">
              <w:rPr>
                <w:rFonts w:ascii="Arial" w:eastAsia="Calibri" w:hAnsi="Arial" w:cs="Arial"/>
                <w:b/>
                <w:sz w:val="20"/>
                <w:szCs w:val="20"/>
                <w:lang w:val="en-US"/>
              </w:rPr>
              <w:t>Official Documents</w:t>
            </w:r>
          </w:p>
        </w:tc>
        <w:tc>
          <w:tcPr>
            <w:tcW w:w="2693" w:type="dxa"/>
            <w:gridSpan w:val="2"/>
            <w:tcBorders>
              <w:bottom w:val="single" w:sz="4" w:space="0" w:color="auto"/>
            </w:tcBorders>
            <w:shd w:val="clear" w:color="auto" w:fill="B6DDE8" w:themeFill="accent5" w:themeFillTint="66"/>
          </w:tcPr>
          <w:p w:rsidR="003D7919" w:rsidRPr="00640DF1" w:rsidRDefault="003D7919" w:rsidP="00DE6BC9">
            <w:pPr>
              <w:spacing w:after="0" w:line="240" w:lineRule="auto"/>
              <w:ind w:right="-108"/>
              <w:jc w:val="center"/>
              <w:rPr>
                <w:rFonts w:ascii="Arial" w:eastAsia="Calibri" w:hAnsi="Arial" w:cs="Arial"/>
                <w:b/>
                <w:sz w:val="20"/>
                <w:szCs w:val="20"/>
                <w:lang w:val="en-US"/>
              </w:rPr>
            </w:pPr>
            <w:r>
              <w:rPr>
                <w:rFonts w:ascii="Arial" w:eastAsia="Calibri" w:hAnsi="Arial" w:cs="Arial"/>
                <w:b/>
                <w:sz w:val="20"/>
                <w:szCs w:val="20"/>
                <w:lang w:val="en-US"/>
              </w:rPr>
              <w:t>University-A</w:t>
            </w:r>
          </w:p>
        </w:tc>
        <w:tc>
          <w:tcPr>
            <w:tcW w:w="2552" w:type="dxa"/>
            <w:gridSpan w:val="2"/>
            <w:tcBorders>
              <w:bottom w:val="single" w:sz="4" w:space="0" w:color="auto"/>
            </w:tcBorders>
            <w:shd w:val="clear" w:color="auto" w:fill="B6DDE8" w:themeFill="accent5" w:themeFillTint="66"/>
          </w:tcPr>
          <w:p w:rsidR="003D7919" w:rsidRPr="00640DF1" w:rsidRDefault="003D7919" w:rsidP="00DE6BC9">
            <w:pPr>
              <w:spacing w:after="0" w:line="240" w:lineRule="auto"/>
              <w:ind w:right="-107"/>
              <w:jc w:val="center"/>
              <w:rPr>
                <w:rFonts w:ascii="Arial" w:eastAsia="Calibri" w:hAnsi="Arial" w:cs="Arial"/>
                <w:b/>
                <w:sz w:val="20"/>
                <w:szCs w:val="20"/>
                <w:lang w:val="en-US"/>
              </w:rPr>
            </w:pPr>
            <w:r>
              <w:rPr>
                <w:rFonts w:ascii="Arial" w:eastAsia="Calibri" w:hAnsi="Arial" w:cs="Arial"/>
                <w:b/>
                <w:sz w:val="20"/>
                <w:szCs w:val="20"/>
                <w:lang w:val="en-US"/>
              </w:rPr>
              <w:t>University-B</w:t>
            </w:r>
          </w:p>
        </w:tc>
      </w:tr>
      <w:tr w:rsidR="003D7919" w:rsidRPr="00640DF1" w:rsidTr="00F93E58">
        <w:trPr>
          <w:trHeight w:val="291"/>
        </w:trPr>
        <w:tc>
          <w:tcPr>
            <w:tcW w:w="3544" w:type="dxa"/>
            <w:vMerge/>
            <w:tcBorders>
              <w:bottom w:val="single" w:sz="4" w:space="0" w:color="auto"/>
            </w:tcBorders>
            <w:shd w:val="clear" w:color="auto" w:fill="B6DDE8" w:themeFill="accent5" w:themeFillTint="66"/>
          </w:tcPr>
          <w:p w:rsidR="003D7919" w:rsidRPr="00640DF1" w:rsidRDefault="003D7919" w:rsidP="00DE6BC9">
            <w:pPr>
              <w:spacing w:after="0" w:line="240" w:lineRule="auto"/>
              <w:rPr>
                <w:rFonts w:ascii="Arial" w:eastAsia="Calibri" w:hAnsi="Arial" w:cs="Arial"/>
                <w:b/>
                <w:sz w:val="20"/>
                <w:szCs w:val="20"/>
                <w:lang w:val="en-US"/>
              </w:rPr>
            </w:pPr>
          </w:p>
        </w:tc>
        <w:tc>
          <w:tcPr>
            <w:tcW w:w="1418" w:type="dxa"/>
            <w:tcBorders>
              <w:bottom w:val="single" w:sz="4" w:space="0" w:color="auto"/>
            </w:tcBorders>
            <w:shd w:val="clear" w:color="auto" w:fill="B6DDE8" w:themeFill="accent5" w:themeFillTint="66"/>
          </w:tcPr>
          <w:p w:rsidR="003D7919" w:rsidRPr="00640DF1" w:rsidRDefault="00E15043" w:rsidP="00E15043">
            <w:pPr>
              <w:spacing w:after="0" w:line="240" w:lineRule="auto"/>
              <w:ind w:right="-108"/>
              <w:rPr>
                <w:rFonts w:ascii="Arial" w:eastAsia="Calibri" w:hAnsi="Arial" w:cs="Arial"/>
                <w:b/>
                <w:sz w:val="20"/>
                <w:szCs w:val="20"/>
                <w:lang w:val="en-US"/>
              </w:rPr>
            </w:pPr>
            <w:r>
              <w:rPr>
                <w:rFonts w:ascii="Arial" w:eastAsia="Calibri" w:hAnsi="Arial" w:cs="Arial"/>
                <w:b/>
                <w:sz w:val="20"/>
                <w:szCs w:val="20"/>
                <w:lang w:val="en-US"/>
              </w:rPr>
              <w:t>Document</w:t>
            </w:r>
            <w:r w:rsidR="009A7EDB">
              <w:rPr>
                <w:rFonts w:ascii="Arial" w:eastAsia="Calibri" w:hAnsi="Arial" w:cs="Arial"/>
                <w:b/>
                <w:sz w:val="20"/>
                <w:szCs w:val="20"/>
                <w:lang w:val="en-US"/>
              </w:rPr>
              <w:t>s</w:t>
            </w:r>
            <w:r>
              <w:rPr>
                <w:rFonts w:ascii="Arial" w:eastAsia="Calibri" w:hAnsi="Arial" w:cs="Arial"/>
                <w:b/>
                <w:sz w:val="20"/>
                <w:szCs w:val="20"/>
                <w:lang w:val="en-US"/>
              </w:rPr>
              <w:t xml:space="preserve"> available</w:t>
            </w:r>
          </w:p>
        </w:tc>
        <w:tc>
          <w:tcPr>
            <w:tcW w:w="1275" w:type="dxa"/>
            <w:tcBorders>
              <w:bottom w:val="single" w:sz="4" w:space="0" w:color="auto"/>
            </w:tcBorders>
            <w:shd w:val="clear" w:color="auto" w:fill="B6DDE8" w:themeFill="accent5" w:themeFillTint="66"/>
          </w:tcPr>
          <w:p w:rsidR="003D7919" w:rsidRPr="00640DF1" w:rsidRDefault="003D7919" w:rsidP="00DE6BC9">
            <w:pPr>
              <w:spacing w:after="0" w:line="240" w:lineRule="auto"/>
              <w:ind w:right="-108"/>
              <w:rPr>
                <w:rFonts w:ascii="Arial" w:eastAsia="Calibri" w:hAnsi="Arial" w:cs="Arial"/>
                <w:b/>
                <w:sz w:val="20"/>
                <w:szCs w:val="20"/>
                <w:lang w:val="en-US"/>
              </w:rPr>
            </w:pPr>
            <w:r w:rsidRPr="00640DF1">
              <w:rPr>
                <w:rFonts w:ascii="Arial" w:eastAsia="Calibri" w:hAnsi="Arial" w:cs="Arial"/>
                <w:b/>
                <w:sz w:val="20"/>
                <w:szCs w:val="20"/>
                <w:lang w:val="en-US"/>
              </w:rPr>
              <w:t>Awareness</w:t>
            </w:r>
          </w:p>
        </w:tc>
        <w:tc>
          <w:tcPr>
            <w:tcW w:w="1276" w:type="dxa"/>
            <w:tcBorders>
              <w:bottom w:val="single" w:sz="4" w:space="0" w:color="auto"/>
            </w:tcBorders>
            <w:shd w:val="clear" w:color="auto" w:fill="B6DDE8" w:themeFill="accent5" w:themeFillTint="66"/>
          </w:tcPr>
          <w:p w:rsidR="003D7919" w:rsidRPr="00640DF1" w:rsidRDefault="00E15043" w:rsidP="00DE6BC9">
            <w:pPr>
              <w:spacing w:after="0" w:line="240" w:lineRule="auto"/>
              <w:ind w:right="-107"/>
              <w:rPr>
                <w:rFonts w:ascii="Arial" w:eastAsia="Calibri" w:hAnsi="Arial" w:cs="Arial"/>
                <w:b/>
                <w:sz w:val="20"/>
                <w:szCs w:val="20"/>
                <w:lang w:val="en-US"/>
              </w:rPr>
            </w:pPr>
            <w:r>
              <w:rPr>
                <w:rFonts w:ascii="Arial" w:eastAsia="Calibri" w:hAnsi="Arial" w:cs="Arial"/>
                <w:b/>
                <w:sz w:val="20"/>
                <w:szCs w:val="20"/>
                <w:lang w:val="en-US"/>
              </w:rPr>
              <w:t>Document</w:t>
            </w:r>
            <w:r w:rsidR="009A7EDB">
              <w:rPr>
                <w:rFonts w:ascii="Arial" w:eastAsia="Calibri" w:hAnsi="Arial" w:cs="Arial"/>
                <w:b/>
                <w:sz w:val="20"/>
                <w:szCs w:val="20"/>
                <w:lang w:val="en-US"/>
              </w:rPr>
              <w:t>s</w:t>
            </w:r>
            <w:bookmarkStart w:id="0" w:name="_GoBack"/>
            <w:bookmarkEnd w:id="0"/>
            <w:r>
              <w:rPr>
                <w:rFonts w:ascii="Arial" w:eastAsia="Calibri" w:hAnsi="Arial" w:cs="Arial"/>
                <w:b/>
                <w:sz w:val="20"/>
                <w:szCs w:val="20"/>
                <w:lang w:val="en-US"/>
              </w:rPr>
              <w:t xml:space="preserve"> available</w:t>
            </w:r>
          </w:p>
        </w:tc>
        <w:tc>
          <w:tcPr>
            <w:tcW w:w="1276" w:type="dxa"/>
            <w:tcBorders>
              <w:bottom w:val="single" w:sz="4" w:space="0" w:color="auto"/>
            </w:tcBorders>
            <w:shd w:val="clear" w:color="auto" w:fill="B6DDE8" w:themeFill="accent5" w:themeFillTint="66"/>
          </w:tcPr>
          <w:p w:rsidR="003D7919" w:rsidRPr="00640DF1" w:rsidRDefault="003D7919" w:rsidP="00DE6BC9">
            <w:pPr>
              <w:spacing w:after="0" w:line="240" w:lineRule="auto"/>
              <w:ind w:right="-107"/>
              <w:rPr>
                <w:rFonts w:ascii="Arial" w:eastAsia="Calibri" w:hAnsi="Arial" w:cs="Arial"/>
                <w:b/>
                <w:sz w:val="20"/>
                <w:szCs w:val="20"/>
                <w:lang w:val="en-US"/>
              </w:rPr>
            </w:pPr>
            <w:r w:rsidRPr="00640DF1">
              <w:rPr>
                <w:rFonts w:ascii="Arial" w:eastAsia="Calibri" w:hAnsi="Arial" w:cs="Arial"/>
                <w:b/>
                <w:sz w:val="20"/>
                <w:szCs w:val="20"/>
                <w:lang w:val="en-US"/>
              </w:rPr>
              <w:t>Awareness</w:t>
            </w:r>
          </w:p>
        </w:tc>
      </w:tr>
      <w:tr w:rsidR="003D7919" w:rsidRPr="00640DF1" w:rsidTr="00112171">
        <w:tc>
          <w:tcPr>
            <w:tcW w:w="3544" w:type="dxa"/>
            <w:tcBorders>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Pr>
                <w:rFonts w:ascii="Arial" w:eastAsia="Calibri" w:hAnsi="Arial" w:cs="Arial"/>
                <w:sz w:val="20"/>
                <w:szCs w:val="20"/>
                <w:lang w:val="en-US"/>
              </w:rPr>
              <w:t>H&amp;S</w:t>
            </w:r>
            <w:r w:rsidRPr="00640DF1">
              <w:rPr>
                <w:rFonts w:ascii="Arial" w:eastAsia="Calibri" w:hAnsi="Arial" w:cs="Arial"/>
                <w:sz w:val="20"/>
                <w:szCs w:val="20"/>
                <w:lang w:val="en-US"/>
              </w:rPr>
              <w:t xml:space="preserve"> Committee meeting Minutes</w:t>
            </w:r>
          </w:p>
        </w:tc>
        <w:tc>
          <w:tcPr>
            <w:tcW w:w="1418" w:type="dxa"/>
            <w:tcBorders>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Health and Safety Training records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Health </w:t>
            </w:r>
            <w:r>
              <w:rPr>
                <w:rFonts w:ascii="Arial" w:eastAsia="Calibri" w:hAnsi="Arial" w:cs="Arial"/>
                <w:sz w:val="20"/>
                <w:szCs w:val="20"/>
                <w:lang w:val="en-US"/>
              </w:rPr>
              <w:t xml:space="preserve">&amp; </w:t>
            </w:r>
            <w:r w:rsidRPr="00640DF1">
              <w:rPr>
                <w:rFonts w:ascii="Arial" w:eastAsia="Calibri" w:hAnsi="Arial" w:cs="Arial"/>
                <w:sz w:val="20"/>
                <w:szCs w:val="20"/>
                <w:lang w:val="en-US"/>
              </w:rPr>
              <w:t>Safety Appointments – Safety Reps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11217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Health </w:t>
            </w:r>
            <w:r>
              <w:rPr>
                <w:rFonts w:ascii="Arial" w:eastAsia="Calibri" w:hAnsi="Arial" w:cs="Arial"/>
                <w:sz w:val="20"/>
                <w:szCs w:val="20"/>
                <w:lang w:val="en-US"/>
              </w:rPr>
              <w:t>&amp;</w:t>
            </w:r>
            <w:r w:rsidRPr="00640DF1">
              <w:rPr>
                <w:rFonts w:ascii="Arial" w:eastAsia="Calibri" w:hAnsi="Arial" w:cs="Arial"/>
                <w:sz w:val="20"/>
                <w:szCs w:val="20"/>
                <w:lang w:val="en-US"/>
              </w:rPr>
              <w:t xml:space="preserve"> Safety Appointments – </w:t>
            </w:r>
          </w:p>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First Aiders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Health </w:t>
            </w:r>
            <w:r>
              <w:rPr>
                <w:rFonts w:ascii="Arial" w:eastAsia="Calibri" w:hAnsi="Arial" w:cs="Arial"/>
                <w:sz w:val="20"/>
                <w:szCs w:val="20"/>
                <w:lang w:val="en-US"/>
              </w:rPr>
              <w:t>&amp;</w:t>
            </w:r>
            <w:r w:rsidRPr="00640DF1">
              <w:rPr>
                <w:rFonts w:ascii="Arial" w:eastAsia="Calibri" w:hAnsi="Arial" w:cs="Arial"/>
                <w:sz w:val="20"/>
                <w:szCs w:val="20"/>
                <w:lang w:val="en-US"/>
              </w:rPr>
              <w:t xml:space="preserve"> Safety Appointments – Evac</w:t>
            </w:r>
            <w:r>
              <w:rPr>
                <w:rFonts w:ascii="Arial" w:eastAsia="Calibri" w:hAnsi="Arial" w:cs="Arial"/>
                <w:sz w:val="20"/>
                <w:szCs w:val="20"/>
                <w:lang w:val="en-US"/>
              </w:rPr>
              <w:t xml:space="preserve">uation </w:t>
            </w:r>
            <w:r w:rsidRPr="00640DF1">
              <w:rPr>
                <w:rFonts w:ascii="Arial" w:eastAsia="Calibri" w:hAnsi="Arial" w:cs="Arial"/>
                <w:sz w:val="20"/>
                <w:szCs w:val="20"/>
                <w:lang w:val="en-US"/>
              </w:rPr>
              <w:t>Marshals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Injury on Duty Procedures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Injury on Duty Policy</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Health and Safety Policy</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Health </w:t>
            </w:r>
            <w:r>
              <w:rPr>
                <w:rFonts w:ascii="Arial" w:eastAsia="Calibri" w:hAnsi="Arial" w:cs="Arial"/>
                <w:sz w:val="20"/>
                <w:szCs w:val="20"/>
                <w:lang w:val="en-US"/>
              </w:rPr>
              <w:t xml:space="preserve">&amp; </w:t>
            </w:r>
            <w:r w:rsidRPr="00640DF1">
              <w:rPr>
                <w:rFonts w:ascii="Arial" w:eastAsia="Calibri" w:hAnsi="Arial" w:cs="Arial"/>
                <w:sz w:val="20"/>
                <w:szCs w:val="20"/>
                <w:lang w:val="en-US"/>
              </w:rPr>
              <w:t xml:space="preserve">Safety surveillance system </w:t>
            </w:r>
            <w:r>
              <w:rPr>
                <w:rFonts w:ascii="Arial" w:eastAsia="Calibri" w:hAnsi="Arial" w:cs="Arial"/>
                <w:sz w:val="20"/>
                <w:szCs w:val="20"/>
                <w:lang w:val="en-US"/>
              </w:rPr>
              <w:t>–</w:t>
            </w:r>
            <w:r w:rsidRPr="00640DF1">
              <w:rPr>
                <w:rFonts w:ascii="Arial" w:eastAsia="Calibri" w:hAnsi="Arial" w:cs="Arial"/>
                <w:sz w:val="20"/>
                <w:szCs w:val="20"/>
                <w:lang w:val="en-US"/>
              </w:rPr>
              <w:t xml:space="preserve"> automated</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Pr>
                <w:rFonts w:ascii="Arial" w:eastAsia="Calibri" w:hAnsi="Arial" w:cs="Arial"/>
                <w:sz w:val="20"/>
                <w:szCs w:val="20"/>
                <w:lang w:val="en-US"/>
              </w:rPr>
              <w:t>Health &amp;</w:t>
            </w:r>
            <w:r w:rsidRPr="00640DF1">
              <w:rPr>
                <w:rFonts w:ascii="Arial" w:eastAsia="Calibri" w:hAnsi="Arial" w:cs="Arial"/>
                <w:sz w:val="20"/>
                <w:szCs w:val="20"/>
                <w:lang w:val="en-US"/>
              </w:rPr>
              <w:t xml:space="preserve"> Safety surveillance system - manual</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Health and Safety Audit documents - external</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Health and Safety Audit documents - internal</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112171">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Annexure 1 Incident Reports </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112171">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Employers Report of an Accident </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Emergency Procedures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Emergency Plan</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Evacuation Plans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General Safety Signage</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Emergency Contact Lists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Risk assessments </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Public access Health </w:t>
            </w:r>
            <w:r>
              <w:rPr>
                <w:rFonts w:ascii="Arial" w:eastAsia="Calibri" w:hAnsi="Arial" w:cs="Arial"/>
                <w:sz w:val="20"/>
                <w:szCs w:val="20"/>
                <w:lang w:val="en-US"/>
              </w:rPr>
              <w:t xml:space="preserve">&amp; </w:t>
            </w:r>
            <w:r w:rsidRPr="00640DF1">
              <w:rPr>
                <w:rFonts w:ascii="Arial" w:eastAsia="Calibri" w:hAnsi="Arial" w:cs="Arial"/>
                <w:sz w:val="20"/>
                <w:szCs w:val="20"/>
                <w:lang w:val="en-US"/>
              </w:rPr>
              <w:t>Safety Awareness info</w:t>
            </w:r>
            <w:r>
              <w:rPr>
                <w:rFonts w:ascii="Arial" w:eastAsia="Calibri" w:hAnsi="Arial" w:cs="Arial"/>
                <w:sz w:val="20"/>
                <w:szCs w:val="20"/>
                <w:lang w:val="en-US"/>
              </w:rPr>
              <w:t>.</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Health</w:t>
            </w:r>
            <w:r>
              <w:rPr>
                <w:rFonts w:ascii="Arial" w:eastAsia="Calibri" w:hAnsi="Arial" w:cs="Arial"/>
                <w:sz w:val="20"/>
                <w:szCs w:val="20"/>
                <w:lang w:val="en-US"/>
              </w:rPr>
              <w:t xml:space="preserve"> &amp; </w:t>
            </w:r>
            <w:r w:rsidRPr="00640DF1">
              <w:rPr>
                <w:rFonts w:ascii="Arial" w:eastAsia="Calibri" w:hAnsi="Arial" w:cs="Arial"/>
                <w:sz w:val="20"/>
                <w:szCs w:val="20"/>
                <w:lang w:val="en-US"/>
              </w:rPr>
              <w:t>Safety awareness campaigns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Pr>
                <w:rFonts w:ascii="Arial" w:eastAsia="Calibri" w:hAnsi="Arial" w:cs="Arial"/>
                <w:sz w:val="20"/>
                <w:szCs w:val="20"/>
                <w:lang w:val="en-US"/>
              </w:rPr>
              <w:t>Health &amp;</w:t>
            </w:r>
            <w:r w:rsidRPr="00640DF1">
              <w:rPr>
                <w:rFonts w:ascii="Arial" w:eastAsia="Calibri" w:hAnsi="Arial" w:cs="Arial"/>
                <w:sz w:val="20"/>
                <w:szCs w:val="20"/>
                <w:lang w:val="en-US"/>
              </w:rPr>
              <w:t xml:space="preserve"> Safety Inductions</w:t>
            </w:r>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 xml:space="preserve">Food Hygiene and Food Safety </w:t>
            </w:r>
            <w:proofErr w:type="spellStart"/>
            <w:r w:rsidRPr="00640DF1">
              <w:rPr>
                <w:rFonts w:ascii="Arial" w:eastAsia="Calibri" w:hAnsi="Arial" w:cs="Arial"/>
                <w:sz w:val="20"/>
                <w:szCs w:val="20"/>
                <w:lang w:val="en-US"/>
              </w:rPr>
              <w:t>programme</w:t>
            </w:r>
            <w:proofErr w:type="spellEnd"/>
          </w:p>
        </w:tc>
        <w:tc>
          <w:tcPr>
            <w:tcW w:w="1418"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bottom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bottom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tcBorders>
              <w:top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Pr>
                <w:rFonts w:ascii="Arial" w:eastAsia="Calibri" w:hAnsi="Arial" w:cs="Arial"/>
                <w:sz w:val="20"/>
                <w:szCs w:val="20"/>
                <w:lang w:val="en-US"/>
              </w:rPr>
              <w:t>Health &amp;</w:t>
            </w:r>
            <w:r w:rsidRPr="00640DF1">
              <w:rPr>
                <w:rFonts w:ascii="Arial" w:eastAsia="Calibri" w:hAnsi="Arial" w:cs="Arial"/>
                <w:sz w:val="20"/>
                <w:szCs w:val="20"/>
                <w:lang w:val="en-US"/>
              </w:rPr>
              <w:t xml:space="preserve"> Safety training in Staff Development programs.</w:t>
            </w:r>
          </w:p>
        </w:tc>
        <w:tc>
          <w:tcPr>
            <w:tcW w:w="1418" w:type="dxa"/>
            <w:tcBorders>
              <w:top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5" w:type="dxa"/>
            <w:tcBorders>
              <w:top w:val="nil"/>
            </w:tcBorders>
            <w:shd w:val="clear" w:color="auto" w:fill="auto"/>
          </w:tcPr>
          <w:p w:rsidR="003D7919" w:rsidRPr="00640DF1" w:rsidRDefault="003D7919" w:rsidP="00DE6BC9">
            <w:pPr>
              <w:spacing w:after="0" w:line="240" w:lineRule="auto"/>
              <w:rPr>
                <w:rFonts w:ascii="Arial" w:eastAsia="Calibri" w:hAnsi="Arial" w:cs="Arial"/>
                <w:sz w:val="20"/>
                <w:szCs w:val="20"/>
                <w:lang w:val="en-US"/>
              </w:rPr>
            </w:pPr>
            <w:r w:rsidRPr="00640DF1">
              <w:rPr>
                <w:rFonts w:ascii="Arial" w:eastAsia="Calibri" w:hAnsi="Arial" w:cs="Arial"/>
                <w:sz w:val="20"/>
                <w:szCs w:val="20"/>
                <w:lang w:val="en-US"/>
              </w:rPr>
              <w:t>x</w:t>
            </w:r>
          </w:p>
        </w:tc>
        <w:tc>
          <w:tcPr>
            <w:tcW w:w="1276" w:type="dxa"/>
            <w:tcBorders>
              <w:top w:val="nil"/>
            </w:tcBorders>
          </w:tcPr>
          <w:p w:rsidR="003D7919" w:rsidRPr="00640DF1" w:rsidRDefault="003D7919" w:rsidP="00DE6BC9">
            <w:pPr>
              <w:spacing w:after="0" w:line="240" w:lineRule="auto"/>
              <w:rPr>
                <w:rFonts w:ascii="Arial" w:eastAsia="Calibri" w:hAnsi="Arial" w:cs="Arial"/>
                <w:sz w:val="20"/>
                <w:szCs w:val="20"/>
                <w:lang w:val="en-US"/>
              </w:rPr>
            </w:pPr>
          </w:p>
        </w:tc>
        <w:tc>
          <w:tcPr>
            <w:tcW w:w="1276" w:type="dxa"/>
            <w:tcBorders>
              <w:top w:val="nil"/>
            </w:tcBorders>
          </w:tcPr>
          <w:p w:rsidR="003D7919" w:rsidRPr="00640DF1" w:rsidRDefault="003D7919" w:rsidP="00DE6BC9">
            <w:pPr>
              <w:spacing w:after="0" w:line="240" w:lineRule="auto"/>
              <w:rPr>
                <w:rFonts w:ascii="Arial" w:eastAsia="Calibri" w:hAnsi="Arial" w:cs="Arial"/>
                <w:sz w:val="20"/>
                <w:szCs w:val="20"/>
                <w:lang w:val="en-US"/>
              </w:rPr>
            </w:pPr>
          </w:p>
        </w:tc>
      </w:tr>
      <w:tr w:rsidR="003D7919" w:rsidRPr="00640DF1" w:rsidTr="00112171">
        <w:tc>
          <w:tcPr>
            <w:tcW w:w="3544" w:type="dxa"/>
            <w:shd w:val="clear" w:color="auto" w:fill="auto"/>
          </w:tcPr>
          <w:p w:rsidR="003D7919" w:rsidRPr="00640DF1" w:rsidRDefault="003D7919" w:rsidP="00DE6BC9">
            <w:pPr>
              <w:spacing w:after="0" w:line="240" w:lineRule="auto"/>
              <w:rPr>
                <w:rFonts w:ascii="Arial" w:eastAsia="Calibri" w:hAnsi="Arial" w:cs="Arial"/>
                <w:b/>
                <w:sz w:val="20"/>
                <w:szCs w:val="20"/>
                <w:lang w:val="en-US"/>
              </w:rPr>
            </w:pPr>
            <w:r w:rsidRPr="00640DF1">
              <w:rPr>
                <w:rFonts w:ascii="Arial" w:eastAsia="Calibri" w:hAnsi="Arial" w:cs="Arial"/>
                <w:b/>
                <w:sz w:val="20"/>
                <w:szCs w:val="20"/>
                <w:lang w:val="en-US"/>
              </w:rPr>
              <w:t>Total</w:t>
            </w:r>
            <w:r>
              <w:rPr>
                <w:rFonts w:ascii="Arial" w:eastAsia="Calibri" w:hAnsi="Arial" w:cs="Arial"/>
                <w:b/>
                <w:sz w:val="20"/>
                <w:szCs w:val="20"/>
                <w:lang w:val="en-US"/>
              </w:rPr>
              <w:t xml:space="preserve"> (25)</w:t>
            </w:r>
          </w:p>
        </w:tc>
        <w:tc>
          <w:tcPr>
            <w:tcW w:w="1418" w:type="dxa"/>
            <w:shd w:val="clear" w:color="auto" w:fill="auto"/>
            <w:vAlign w:val="bottom"/>
          </w:tcPr>
          <w:p w:rsidR="003D7919" w:rsidRPr="00640DF1" w:rsidRDefault="003D7919" w:rsidP="00DE6BC9">
            <w:pPr>
              <w:spacing w:after="0" w:line="240" w:lineRule="auto"/>
              <w:rPr>
                <w:rFonts w:ascii="Arial" w:eastAsia="Times New Roman" w:hAnsi="Arial" w:cs="Arial"/>
                <w:b/>
                <w:color w:val="000000"/>
                <w:sz w:val="20"/>
                <w:szCs w:val="20"/>
                <w:lang w:val="en-US"/>
              </w:rPr>
            </w:pPr>
            <w:r w:rsidRPr="00640DF1">
              <w:rPr>
                <w:rFonts w:ascii="Arial" w:eastAsia="Times New Roman" w:hAnsi="Arial" w:cs="Arial"/>
                <w:b/>
                <w:color w:val="000000"/>
                <w:sz w:val="20"/>
                <w:szCs w:val="20"/>
                <w:lang w:val="en-US"/>
              </w:rPr>
              <w:t>20</w:t>
            </w:r>
          </w:p>
        </w:tc>
        <w:tc>
          <w:tcPr>
            <w:tcW w:w="1275" w:type="dxa"/>
            <w:shd w:val="clear" w:color="auto" w:fill="auto"/>
            <w:vAlign w:val="bottom"/>
          </w:tcPr>
          <w:p w:rsidR="003D7919" w:rsidRPr="00640DF1" w:rsidRDefault="003D7919" w:rsidP="00DE6BC9">
            <w:pPr>
              <w:spacing w:after="0" w:line="240" w:lineRule="auto"/>
              <w:rPr>
                <w:rFonts w:ascii="Arial" w:eastAsia="Times New Roman" w:hAnsi="Arial" w:cs="Arial"/>
                <w:b/>
                <w:color w:val="000000"/>
                <w:sz w:val="20"/>
                <w:szCs w:val="20"/>
                <w:lang w:val="en-US"/>
              </w:rPr>
            </w:pPr>
            <w:r w:rsidRPr="00640DF1">
              <w:rPr>
                <w:rFonts w:ascii="Arial" w:eastAsia="Times New Roman" w:hAnsi="Arial" w:cs="Arial"/>
                <w:b/>
                <w:color w:val="000000"/>
                <w:sz w:val="20"/>
                <w:szCs w:val="20"/>
                <w:lang w:val="en-US"/>
              </w:rPr>
              <w:t>11</w:t>
            </w:r>
          </w:p>
        </w:tc>
        <w:tc>
          <w:tcPr>
            <w:tcW w:w="1276" w:type="dxa"/>
          </w:tcPr>
          <w:p w:rsidR="003D7919" w:rsidRPr="00640DF1" w:rsidRDefault="003D7919" w:rsidP="00DE6BC9">
            <w:pPr>
              <w:spacing w:after="0" w:line="240" w:lineRule="auto"/>
              <w:rPr>
                <w:rFonts w:ascii="Arial" w:eastAsia="Calibri" w:hAnsi="Arial" w:cs="Arial"/>
                <w:b/>
                <w:sz w:val="20"/>
                <w:szCs w:val="20"/>
                <w:lang w:val="en-US"/>
              </w:rPr>
            </w:pPr>
            <w:r w:rsidRPr="00640DF1">
              <w:rPr>
                <w:rFonts w:ascii="Arial" w:eastAsia="Calibri" w:hAnsi="Arial" w:cs="Arial"/>
                <w:b/>
                <w:sz w:val="20"/>
                <w:szCs w:val="20"/>
                <w:lang w:val="en-US"/>
              </w:rPr>
              <w:t>7</w:t>
            </w:r>
          </w:p>
        </w:tc>
        <w:tc>
          <w:tcPr>
            <w:tcW w:w="1276" w:type="dxa"/>
          </w:tcPr>
          <w:p w:rsidR="003D7919" w:rsidRPr="00640DF1" w:rsidRDefault="003D7919" w:rsidP="00DE6BC9">
            <w:pPr>
              <w:spacing w:after="0" w:line="240" w:lineRule="auto"/>
              <w:rPr>
                <w:rFonts w:ascii="Arial" w:eastAsia="Calibri" w:hAnsi="Arial" w:cs="Arial"/>
                <w:b/>
                <w:sz w:val="20"/>
                <w:szCs w:val="20"/>
                <w:lang w:val="en-US"/>
              </w:rPr>
            </w:pPr>
            <w:r w:rsidRPr="00640DF1">
              <w:rPr>
                <w:rFonts w:ascii="Arial" w:eastAsia="Calibri" w:hAnsi="Arial" w:cs="Arial"/>
                <w:b/>
                <w:sz w:val="20"/>
                <w:szCs w:val="20"/>
                <w:lang w:val="en-US"/>
              </w:rPr>
              <w:t>2</w:t>
            </w:r>
          </w:p>
        </w:tc>
      </w:tr>
    </w:tbl>
    <w:p w:rsidR="003D7919" w:rsidRPr="00EC0BA3" w:rsidRDefault="003D7919" w:rsidP="00E15043">
      <w:pPr>
        <w:pStyle w:val="NoSpacing"/>
        <w:spacing w:line="360" w:lineRule="auto"/>
        <w:jc w:val="both"/>
        <w:rPr>
          <w:rFonts w:ascii="Times New Roman" w:eastAsia="Times New Roman" w:hAnsi="Times New Roman" w:cs="Times New Roman"/>
          <w:b/>
          <w:bCs/>
          <w:sz w:val="24"/>
          <w:szCs w:val="24"/>
          <w:lang w:val="en-GB" w:eastAsia="en-ZA"/>
        </w:rPr>
      </w:pPr>
    </w:p>
    <w:sectPr w:rsidR="003D7919" w:rsidRPr="00EC0BA3" w:rsidSect="00FB75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797" w:header="708" w:footer="708"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34" w:rsidRDefault="008F4F34" w:rsidP="002318DC">
      <w:pPr>
        <w:spacing w:after="0" w:line="240" w:lineRule="auto"/>
      </w:pPr>
      <w:r>
        <w:separator/>
      </w:r>
    </w:p>
  </w:endnote>
  <w:endnote w:type="continuationSeparator" w:id="0">
    <w:p w:rsidR="008F4F34" w:rsidRDefault="008F4F34" w:rsidP="0023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CE" w:rsidRDefault="00253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05353"/>
      <w:docPartObj>
        <w:docPartGallery w:val="Page Numbers (Bottom of Page)"/>
        <w:docPartUnique/>
      </w:docPartObj>
    </w:sdtPr>
    <w:sdtEndPr>
      <w:rPr>
        <w:rFonts w:ascii="Arial" w:hAnsi="Arial" w:cs="Arial"/>
        <w:noProof/>
      </w:rPr>
    </w:sdtEndPr>
    <w:sdtContent>
      <w:p w:rsidR="00112171" w:rsidRPr="00112171" w:rsidRDefault="00112171">
        <w:pPr>
          <w:pStyle w:val="Footer"/>
          <w:jc w:val="right"/>
          <w:rPr>
            <w:rFonts w:ascii="Arial" w:hAnsi="Arial" w:cs="Arial"/>
          </w:rPr>
        </w:pPr>
        <w:r w:rsidRPr="00112171">
          <w:rPr>
            <w:rFonts w:ascii="Arial" w:hAnsi="Arial" w:cs="Arial"/>
          </w:rPr>
          <w:fldChar w:fldCharType="begin"/>
        </w:r>
        <w:r w:rsidRPr="00112171">
          <w:rPr>
            <w:rFonts w:ascii="Arial" w:hAnsi="Arial" w:cs="Arial"/>
          </w:rPr>
          <w:instrText xml:space="preserve"> PAGE   \* MERGEFORMAT </w:instrText>
        </w:r>
        <w:r w:rsidRPr="00112171">
          <w:rPr>
            <w:rFonts w:ascii="Arial" w:hAnsi="Arial" w:cs="Arial"/>
          </w:rPr>
          <w:fldChar w:fldCharType="separate"/>
        </w:r>
        <w:r w:rsidR="009A7EDB">
          <w:rPr>
            <w:rFonts w:ascii="Arial" w:hAnsi="Arial" w:cs="Arial"/>
            <w:noProof/>
          </w:rPr>
          <w:t>14</w:t>
        </w:r>
        <w:r w:rsidRPr="00112171">
          <w:rPr>
            <w:rFonts w:ascii="Arial" w:hAnsi="Arial" w:cs="Arial"/>
            <w:noProof/>
          </w:rPr>
          <w:fldChar w:fldCharType="end"/>
        </w:r>
      </w:p>
    </w:sdtContent>
  </w:sdt>
  <w:p w:rsidR="00112171" w:rsidRDefault="00112171" w:rsidP="00253DC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CE" w:rsidRDefault="00253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34" w:rsidRDefault="008F4F34" w:rsidP="002318DC">
      <w:pPr>
        <w:spacing w:after="0" w:line="240" w:lineRule="auto"/>
      </w:pPr>
      <w:r>
        <w:separator/>
      </w:r>
    </w:p>
  </w:footnote>
  <w:footnote w:type="continuationSeparator" w:id="0">
    <w:p w:rsidR="008F4F34" w:rsidRDefault="008F4F34" w:rsidP="00231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CE" w:rsidRDefault="00253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DC" w:rsidRPr="002318DC" w:rsidRDefault="002318DC" w:rsidP="002318DC">
    <w:pPr>
      <w:pStyle w:val="Header"/>
      <w:jc w:val="center"/>
      <w:rPr>
        <w:rFonts w:ascii="Times New Roman" w:hAnsi="Times New Roman" w:cs="Times New Roman"/>
        <w:b/>
        <w:sz w:val="24"/>
        <w:szCs w:val="24"/>
      </w:rPr>
    </w:pPr>
    <w:r w:rsidRPr="002318DC">
      <w:rPr>
        <w:rFonts w:ascii="Times New Roman" w:hAnsi="Times New Roman" w:cs="Times New Roman"/>
        <w:b/>
        <w:sz w:val="24"/>
        <w:szCs w:val="24"/>
      </w:rPr>
      <w:t>Back to basics: Prevention and management of occupational injuries at selected higher education institutions in the Western Cape, South Africa.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CE" w:rsidRDefault="00253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B5"/>
    <w:rsid w:val="000A3A49"/>
    <w:rsid w:val="000F4D7B"/>
    <w:rsid w:val="00112171"/>
    <w:rsid w:val="001A6886"/>
    <w:rsid w:val="002318DC"/>
    <w:rsid w:val="00253DCE"/>
    <w:rsid w:val="002D293A"/>
    <w:rsid w:val="003C2102"/>
    <w:rsid w:val="003D7919"/>
    <w:rsid w:val="004744BA"/>
    <w:rsid w:val="007C0031"/>
    <w:rsid w:val="007D6C12"/>
    <w:rsid w:val="00854CB5"/>
    <w:rsid w:val="008C521A"/>
    <w:rsid w:val="008F4F34"/>
    <w:rsid w:val="00996086"/>
    <w:rsid w:val="009A7EDB"/>
    <w:rsid w:val="009B3B45"/>
    <w:rsid w:val="00A22473"/>
    <w:rsid w:val="00AB2B69"/>
    <w:rsid w:val="00AD3DAA"/>
    <w:rsid w:val="00B44931"/>
    <w:rsid w:val="00E15043"/>
    <w:rsid w:val="00E30B59"/>
    <w:rsid w:val="00EC0BA3"/>
    <w:rsid w:val="00F41D63"/>
    <w:rsid w:val="00F93E58"/>
    <w:rsid w:val="00FB7586"/>
    <w:rsid w:val="00FE7C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B5"/>
    <w:pPr>
      <w:spacing w:after="0" w:line="240" w:lineRule="auto"/>
    </w:pPr>
  </w:style>
  <w:style w:type="paragraph" w:styleId="BalloonText">
    <w:name w:val="Balloon Text"/>
    <w:basedOn w:val="Normal"/>
    <w:link w:val="BalloonTextChar"/>
    <w:uiPriority w:val="99"/>
    <w:semiHidden/>
    <w:unhideWhenUsed/>
    <w:rsid w:val="0085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B5"/>
    <w:rPr>
      <w:rFonts w:ascii="Tahoma" w:hAnsi="Tahoma" w:cs="Tahoma"/>
      <w:sz w:val="16"/>
      <w:szCs w:val="16"/>
    </w:rPr>
  </w:style>
  <w:style w:type="paragraph" w:styleId="Header">
    <w:name w:val="header"/>
    <w:basedOn w:val="Normal"/>
    <w:link w:val="HeaderChar"/>
    <w:uiPriority w:val="99"/>
    <w:unhideWhenUsed/>
    <w:rsid w:val="0023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8DC"/>
  </w:style>
  <w:style w:type="paragraph" w:styleId="Footer">
    <w:name w:val="footer"/>
    <w:basedOn w:val="Normal"/>
    <w:link w:val="FooterChar"/>
    <w:uiPriority w:val="99"/>
    <w:unhideWhenUsed/>
    <w:rsid w:val="0023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4CB5"/>
    <w:pPr>
      <w:spacing w:after="0" w:line="240" w:lineRule="auto"/>
    </w:pPr>
  </w:style>
  <w:style w:type="paragraph" w:styleId="BalloonText">
    <w:name w:val="Balloon Text"/>
    <w:basedOn w:val="Normal"/>
    <w:link w:val="BalloonTextChar"/>
    <w:uiPriority w:val="99"/>
    <w:semiHidden/>
    <w:unhideWhenUsed/>
    <w:rsid w:val="0085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B5"/>
    <w:rPr>
      <w:rFonts w:ascii="Tahoma" w:hAnsi="Tahoma" w:cs="Tahoma"/>
      <w:sz w:val="16"/>
      <w:szCs w:val="16"/>
    </w:rPr>
  </w:style>
  <w:style w:type="paragraph" w:styleId="Header">
    <w:name w:val="header"/>
    <w:basedOn w:val="Normal"/>
    <w:link w:val="HeaderChar"/>
    <w:uiPriority w:val="99"/>
    <w:unhideWhenUsed/>
    <w:rsid w:val="0023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8DC"/>
  </w:style>
  <w:style w:type="paragraph" w:styleId="Footer">
    <w:name w:val="footer"/>
    <w:basedOn w:val="Normal"/>
    <w:link w:val="FooterChar"/>
    <w:uiPriority w:val="99"/>
    <w:unhideWhenUsed/>
    <w:rsid w:val="0023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2014-08-13T11:14:00Z</cp:lastPrinted>
  <dcterms:created xsi:type="dcterms:W3CDTF">2014-08-22T11:39:00Z</dcterms:created>
  <dcterms:modified xsi:type="dcterms:W3CDTF">2014-08-22T11:39:00Z</dcterms:modified>
</cp:coreProperties>
</file>